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0F26" w14:textId="77777777" w:rsidR="0028277E" w:rsidRPr="00D34210" w:rsidRDefault="00E0400D" w:rsidP="00D34210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 w:rsidRPr="00E0400D">
        <w:rPr>
          <w:rFonts w:ascii="Calibri Light" w:hAnsi="Calibri Light"/>
          <w:b/>
          <w:sz w:val="24"/>
          <w:szCs w:val="24"/>
        </w:rPr>
        <w:t>Kunstprojekt Piet Mondrian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1837"/>
      </w:tblGrid>
      <w:tr w:rsidR="00F14E23" w:rsidRPr="003A7575" w14:paraId="1318E8EB" w14:textId="77777777" w:rsidTr="00F14E23">
        <w:tc>
          <w:tcPr>
            <w:tcW w:w="2547" w:type="dxa"/>
            <w:shd w:val="clear" w:color="auto" w:fill="DEEAF6"/>
          </w:tcPr>
          <w:p w14:paraId="07B2D3CA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678" w:type="dxa"/>
            <w:shd w:val="clear" w:color="auto" w:fill="DEEAF6"/>
          </w:tcPr>
          <w:p w14:paraId="72739B96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1837" w:type="dxa"/>
            <w:shd w:val="clear" w:color="auto" w:fill="DEEAF6"/>
          </w:tcPr>
          <w:p w14:paraId="5824B3F7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F14E23" w:rsidRPr="003A7575" w14:paraId="4A28B7CB" w14:textId="77777777" w:rsidTr="00F14E23">
        <w:trPr>
          <w:trHeight w:val="4021"/>
        </w:trPr>
        <w:tc>
          <w:tcPr>
            <w:tcW w:w="2547" w:type="dxa"/>
            <w:tcBorders>
              <w:bottom w:val="single" w:sz="4" w:space="0" w:color="auto"/>
            </w:tcBorders>
          </w:tcPr>
          <w:p w14:paraId="3DAC3F36" w14:textId="77777777" w:rsidR="00065710" w:rsidRPr="00F14E23" w:rsidRDefault="00E0400D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Einstieg</w:t>
            </w:r>
          </w:p>
          <w:p w14:paraId="1401CB2B" w14:textId="77777777" w:rsidR="00CC0740" w:rsidRPr="00F14E23" w:rsidRDefault="0017568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Minuten</w:t>
            </w:r>
          </w:p>
          <w:p w14:paraId="23DBEE37" w14:textId="77777777" w:rsidR="00E0400D" w:rsidRPr="00F14E23" w:rsidRDefault="00E0400D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Sitzkreis </w:t>
            </w:r>
          </w:p>
          <w:p w14:paraId="474E734B" w14:textId="77777777" w:rsidR="00E0400D" w:rsidRPr="00F14E23" w:rsidRDefault="00E0400D" w:rsidP="00DF1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7A9F0BE" w14:textId="77777777" w:rsidR="00065710" w:rsidRPr="00F14E23" w:rsidRDefault="00E0400D" w:rsidP="00D32F69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Die Lehrkraft präsentiert den Schülerinnen und Schülern unterschiedliche </w:t>
            </w:r>
            <w:r w:rsidR="001E3732" w:rsidRPr="00F14E23">
              <w:rPr>
                <w:rFonts w:asciiTheme="majorHAnsi" w:hAnsiTheme="majorHAnsi"/>
                <w:sz w:val="24"/>
                <w:szCs w:val="24"/>
              </w:rPr>
              <w:t xml:space="preserve">abstrakte </w:t>
            </w:r>
            <w:r w:rsidRPr="00F14E23">
              <w:rPr>
                <w:rFonts w:asciiTheme="majorHAnsi" w:hAnsiTheme="majorHAnsi"/>
                <w:sz w:val="24"/>
                <w:szCs w:val="24"/>
              </w:rPr>
              <w:t xml:space="preserve">Kunstwerke des Künstlers Piet Mondrian. </w:t>
            </w:r>
          </w:p>
          <w:p w14:paraId="3D858376" w14:textId="77777777" w:rsidR="00E0400D" w:rsidRPr="00F14E23" w:rsidRDefault="00E0400D" w:rsidP="00E0400D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Die Schülerinnen und Schüler äußern ihre spontanen Gedanken zu den Bildern. </w:t>
            </w:r>
          </w:p>
          <w:p w14:paraId="461128EC" w14:textId="77777777" w:rsidR="001E3732" w:rsidRPr="00F14E23" w:rsidRDefault="001E3732" w:rsidP="00E0400D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Gemeinsam wird der Stil und die Eigenschaften der Bilder erarbeitet:</w:t>
            </w:r>
          </w:p>
          <w:p w14:paraId="1B5BC485" w14:textId="77777777" w:rsidR="001E3732" w:rsidRPr="00F14E23" w:rsidRDefault="001E3732" w:rsidP="001E3732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bCs/>
              </w:rPr>
              <w:t>rechteckige Farbflächen</w:t>
            </w:r>
            <w:r w:rsidRPr="00F14E23">
              <w:rPr>
                <w:rFonts w:asciiTheme="majorHAnsi" w:hAnsiTheme="majorHAnsi"/>
              </w:rPr>
              <w:t xml:space="preserve"> in den </w:t>
            </w:r>
            <w:r w:rsidRPr="00F14E23">
              <w:rPr>
                <w:rFonts w:asciiTheme="majorHAnsi" w:hAnsiTheme="majorHAnsi"/>
                <w:bCs/>
              </w:rPr>
              <w:t>Grundfarben</w:t>
            </w:r>
            <w:r w:rsidRPr="00F14E23">
              <w:rPr>
                <w:rFonts w:asciiTheme="majorHAnsi" w:hAnsiTheme="majorHAnsi"/>
              </w:rPr>
              <w:t xml:space="preserve"> Rot, Blau und Gelb</w:t>
            </w:r>
          </w:p>
          <w:p w14:paraId="2A8EF38A" w14:textId="77777777" w:rsidR="001E3732" w:rsidRPr="00F14E23" w:rsidRDefault="001E3732" w:rsidP="001E3732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</w:rPr>
              <w:t>weiße Flächen</w:t>
            </w:r>
          </w:p>
          <w:p w14:paraId="4921CB13" w14:textId="77777777" w:rsidR="001E3732" w:rsidRPr="00F14E23" w:rsidRDefault="001E3732" w:rsidP="001E3732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</w:rPr>
              <w:t>schwarze Linien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30787EDB" w14:textId="77777777" w:rsidR="001E3732" w:rsidRDefault="001E3732" w:rsidP="00611DE6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Beispiele des </w:t>
            </w:r>
            <w:r w:rsidR="00F14E23" w:rsidRPr="00F14E23">
              <w:rPr>
                <w:rFonts w:asciiTheme="majorHAnsi" w:hAnsiTheme="majorHAnsi"/>
                <w:sz w:val="24"/>
                <w:szCs w:val="24"/>
              </w:rPr>
              <w:t xml:space="preserve">Künstlers Piet Mondrian (Beispiele zu finden auf: </w:t>
            </w:r>
            <w:hyperlink r:id="rId8" w:history="1">
              <w:r w:rsidR="00F14E23" w:rsidRPr="00D3629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https://pixabay.com/de/images/search/piet%20mondrian/</w:t>
              </w:r>
            </w:hyperlink>
            <w:r w:rsidR="00F14E23" w:rsidRPr="00F14E23"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19A76111" w14:textId="77777777" w:rsidR="00F14E23" w:rsidRPr="00F14E23" w:rsidRDefault="00F14E23" w:rsidP="00611DE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4383EB" w14:textId="77777777" w:rsidR="00F14E23" w:rsidRPr="00F14E23" w:rsidRDefault="00F14E23" w:rsidP="00611DE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4E23" w:rsidRPr="00525F18" w14:paraId="727B9A5A" w14:textId="77777777" w:rsidTr="00F14E23">
        <w:tc>
          <w:tcPr>
            <w:tcW w:w="2547" w:type="dxa"/>
            <w:shd w:val="clear" w:color="auto" w:fill="DEEAF6"/>
          </w:tcPr>
          <w:p w14:paraId="171FD664" w14:textId="77777777" w:rsidR="00EE4534" w:rsidRPr="00F14E23" w:rsidRDefault="001E3732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Erarbeitung</w:t>
            </w:r>
          </w:p>
          <w:p w14:paraId="3B708688" w14:textId="77777777" w:rsidR="001E3732" w:rsidRPr="00F14E23" w:rsidRDefault="0017568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Minuten</w:t>
            </w:r>
          </w:p>
          <w:p w14:paraId="66E5DED4" w14:textId="77777777" w:rsidR="00CC0740" w:rsidRPr="00F14E23" w:rsidRDefault="00CC0740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Partnerarbeit</w:t>
            </w:r>
          </w:p>
          <w:p w14:paraId="1BA2598A" w14:textId="77777777" w:rsidR="00CC0740" w:rsidRPr="00F14E23" w:rsidRDefault="00CC0740" w:rsidP="00DF1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EEAF6"/>
          </w:tcPr>
          <w:p w14:paraId="3E51B389" w14:textId="720851F5" w:rsidR="00EE4534" w:rsidRPr="00F14E23" w:rsidRDefault="001E3732" w:rsidP="006B2138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Die Schülerinnen und Schüler sitzen </w:t>
            </w:r>
            <w:r w:rsidR="00472434">
              <w:rPr>
                <w:rFonts w:asciiTheme="majorHAnsi" w:hAnsiTheme="majorHAnsi"/>
                <w:sz w:val="24"/>
                <w:szCs w:val="24"/>
              </w:rPr>
              <w:t>jeweils zu zweit</w:t>
            </w:r>
            <w:r w:rsidRPr="00F14E23">
              <w:rPr>
                <w:rFonts w:asciiTheme="majorHAnsi" w:hAnsiTheme="majorHAnsi"/>
                <w:sz w:val="24"/>
                <w:szCs w:val="24"/>
              </w:rPr>
              <w:t xml:space="preserve"> an einem Computer und öffnen das Tool „Drawing </w:t>
            </w:r>
            <w:proofErr w:type="spellStart"/>
            <w:r w:rsidRPr="00F14E23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Pr="00F14E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14E23">
              <w:rPr>
                <w:rFonts w:asciiTheme="majorHAnsi" w:hAnsiTheme="majorHAnsi"/>
                <w:sz w:val="24"/>
                <w:szCs w:val="24"/>
              </w:rPr>
              <w:t>children</w:t>
            </w:r>
            <w:proofErr w:type="spellEnd"/>
            <w:r w:rsidRPr="00F14E23">
              <w:rPr>
                <w:rFonts w:asciiTheme="majorHAnsi" w:hAnsiTheme="majorHAnsi"/>
                <w:sz w:val="24"/>
                <w:szCs w:val="24"/>
              </w:rPr>
              <w:t>“</w:t>
            </w:r>
          </w:p>
          <w:p w14:paraId="5F6175A5" w14:textId="77777777" w:rsidR="001E3732" w:rsidRPr="00F14E23" w:rsidRDefault="001E3732" w:rsidP="006B2138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Die Lehrkraft </w:t>
            </w:r>
            <w:r w:rsidR="00CF06CC" w:rsidRPr="00F14E23">
              <w:rPr>
                <w:rFonts w:asciiTheme="majorHAnsi" w:hAnsiTheme="majorHAnsi"/>
                <w:sz w:val="24"/>
                <w:szCs w:val="24"/>
              </w:rPr>
              <w:t xml:space="preserve">erläutert die Bedienung des Programms und visualisiert dieses mit Hilfe des Lehrer-PCs und des </w:t>
            </w:r>
            <w:proofErr w:type="spellStart"/>
            <w:r w:rsidR="00CF06CC" w:rsidRPr="00F14E23">
              <w:rPr>
                <w:rFonts w:asciiTheme="majorHAnsi" w:hAnsiTheme="majorHAnsi"/>
                <w:sz w:val="24"/>
                <w:szCs w:val="24"/>
              </w:rPr>
              <w:t>Beamers</w:t>
            </w:r>
            <w:proofErr w:type="spellEnd"/>
            <w:r w:rsidR="00CF06CC" w:rsidRPr="00F14E2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38EB23D7" w14:textId="77777777" w:rsidR="003F0645" w:rsidRPr="00F14E23" w:rsidRDefault="003F0645" w:rsidP="00EC63C4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Sie fordert die Schülerinnen und Schüler auf,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 xml:space="preserve"> den Button „Draw </w:t>
            </w:r>
            <w:proofErr w:type="spellStart"/>
            <w:r w:rsidR="00EC63C4" w:rsidRPr="00F14E23">
              <w:rPr>
                <w:rFonts w:asciiTheme="majorHAnsi" w:hAnsiTheme="majorHAnsi"/>
                <w:sz w:val="24"/>
                <w:szCs w:val="24"/>
              </w:rPr>
              <w:t>backgrounds</w:t>
            </w:r>
            <w:proofErr w:type="spellEnd"/>
            <w:r w:rsidR="00EC63C4" w:rsidRPr="00F14E23">
              <w:rPr>
                <w:rFonts w:asciiTheme="majorHAnsi" w:hAnsiTheme="majorHAnsi"/>
                <w:sz w:val="24"/>
                <w:szCs w:val="24"/>
              </w:rPr>
              <w:t>“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anzuklicken und danach 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>die „Vorlage mit den schwarzen Linien“ auf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>zu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>rufen.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Durch erneutes Klicken werden unterschiedliche Vorlagen angezeigt. Die Schülerinnen und Schüler sollen sich für eine Vorlage entscheiden.</w:t>
            </w:r>
          </w:p>
          <w:p w14:paraId="2FCAD456" w14:textId="77777777" w:rsidR="00EC63C4" w:rsidRPr="00F14E23" w:rsidRDefault="00EC63C4" w:rsidP="00EC63C4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 xml:space="preserve">Im Anschluss daran klicken sie auf den Button „Sketch </w:t>
            </w:r>
            <w:proofErr w:type="spellStart"/>
            <w:r w:rsidRPr="00F14E23">
              <w:rPr>
                <w:rFonts w:asciiTheme="majorHAnsi" w:hAnsiTheme="majorHAnsi"/>
                <w:sz w:val="24"/>
                <w:szCs w:val="24"/>
              </w:rPr>
              <w:t>lines</w:t>
            </w:r>
            <w:proofErr w:type="spellEnd"/>
            <w:r w:rsidRPr="00F14E23">
              <w:rPr>
                <w:rFonts w:asciiTheme="majorHAnsi" w:hAnsiTheme="majorHAnsi"/>
                <w:sz w:val="24"/>
                <w:szCs w:val="24"/>
              </w:rPr>
              <w:t xml:space="preserve">“, um den „Farbeimer“ zu nutzen. </w:t>
            </w:r>
          </w:p>
          <w:p w14:paraId="1340A9EE" w14:textId="77777777" w:rsidR="00CC0740" w:rsidRPr="00F14E23" w:rsidRDefault="00CC0740" w:rsidP="00EC63C4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Mit dieser Einstellung dürfen die Schülerinnen und Schüler experimentieren und die weißen Flächen farbig ausfüllen.</w:t>
            </w:r>
          </w:p>
        </w:tc>
        <w:tc>
          <w:tcPr>
            <w:tcW w:w="1837" w:type="dxa"/>
            <w:shd w:val="clear" w:color="auto" w:fill="DEEAF6"/>
          </w:tcPr>
          <w:p w14:paraId="32C3DC43" w14:textId="77777777" w:rsidR="00EE4534" w:rsidRPr="00525F18" w:rsidRDefault="001E3732" w:rsidP="00EE4534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25F18">
              <w:rPr>
                <w:rFonts w:asciiTheme="majorHAnsi" w:hAnsiTheme="majorHAnsi"/>
                <w:sz w:val="24"/>
                <w:szCs w:val="24"/>
                <w:lang w:val="en-GB"/>
              </w:rPr>
              <w:t>1:2 Computer</w:t>
            </w:r>
          </w:p>
          <w:p w14:paraId="1EE5D726" w14:textId="77777777" w:rsidR="001E3732" w:rsidRPr="00525F18" w:rsidRDefault="001E3732" w:rsidP="00EE4534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25F18">
              <w:rPr>
                <w:rFonts w:asciiTheme="majorHAnsi" w:hAnsiTheme="majorHAnsi"/>
                <w:sz w:val="24"/>
                <w:szCs w:val="24"/>
                <w:lang w:val="en-GB"/>
              </w:rPr>
              <w:t>Tool „Drawing for children“</w:t>
            </w:r>
          </w:p>
        </w:tc>
      </w:tr>
      <w:tr w:rsidR="00F14E23" w:rsidRPr="003A7575" w14:paraId="11124482" w14:textId="77777777" w:rsidTr="00F14E23">
        <w:tc>
          <w:tcPr>
            <w:tcW w:w="2547" w:type="dxa"/>
            <w:tcBorders>
              <w:bottom w:val="single" w:sz="4" w:space="0" w:color="auto"/>
            </w:tcBorders>
          </w:tcPr>
          <w:p w14:paraId="0ADD6ED4" w14:textId="77777777" w:rsidR="00685AB6" w:rsidRPr="00F14E23" w:rsidRDefault="00EC63C4" w:rsidP="008B5B2B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lastRenderedPageBreak/>
              <w:t>Arbeitsphase</w:t>
            </w:r>
          </w:p>
          <w:p w14:paraId="6BF15F81" w14:textId="77777777" w:rsidR="00CC0740" w:rsidRPr="00F14E23" w:rsidRDefault="00CC0740" w:rsidP="008B5B2B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20 Minuten</w:t>
            </w:r>
          </w:p>
          <w:p w14:paraId="25E9C350" w14:textId="77777777" w:rsidR="00685AB6" w:rsidRPr="00F14E23" w:rsidRDefault="00685AB6" w:rsidP="008B5B2B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Partnerarbeit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3F699D3" w14:textId="53DA983C" w:rsidR="00DF4CA1" w:rsidRPr="00F14E23" w:rsidRDefault="00CC0740" w:rsidP="00CC0740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Die Lehrkraft fordert nun die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 xml:space="preserve"> Schülerinnen und Schüler</w:t>
            </w:r>
            <w:r w:rsidRPr="00F14E23">
              <w:rPr>
                <w:rFonts w:asciiTheme="majorHAnsi" w:hAnsiTheme="majorHAnsi"/>
                <w:sz w:val="24"/>
                <w:szCs w:val="24"/>
              </w:rPr>
              <w:t xml:space="preserve"> auf</w:t>
            </w:r>
            <w:r w:rsidR="00CE5320" w:rsidRPr="00F14E23">
              <w:rPr>
                <w:rFonts w:asciiTheme="majorHAnsi" w:hAnsiTheme="majorHAnsi"/>
                <w:sz w:val="24"/>
                <w:szCs w:val="24"/>
              </w:rPr>
              <w:t>,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25F18">
              <w:rPr>
                <w:rFonts w:asciiTheme="majorHAnsi" w:hAnsiTheme="majorHAnsi"/>
                <w:sz w:val="24"/>
                <w:szCs w:val="24"/>
              </w:rPr>
              <w:t>ein Bild</w:t>
            </w:r>
            <w:bookmarkStart w:id="0" w:name="_GoBack"/>
            <w:bookmarkEnd w:id="0"/>
            <w:r w:rsidRPr="00F14E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E5320" w:rsidRPr="00F14E23">
              <w:rPr>
                <w:rFonts w:asciiTheme="majorHAnsi" w:hAnsiTheme="majorHAnsi"/>
                <w:sz w:val="24"/>
                <w:szCs w:val="24"/>
              </w:rPr>
              <w:t xml:space="preserve">in Anlehnung an den Künstler Piet Mondrian </w:t>
            </w:r>
            <w:r w:rsidRPr="00F14E23">
              <w:rPr>
                <w:rFonts w:asciiTheme="majorHAnsi" w:hAnsiTheme="majorHAnsi"/>
                <w:sz w:val="24"/>
                <w:szCs w:val="24"/>
              </w:rPr>
              <w:t>zu erstellen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>. Die vorgegeben Grundfarben sind dabei einzuhalten (Blau, Gelb und Rot).</w:t>
            </w:r>
            <w:r w:rsidRPr="00F14E2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7677EB3F" w14:textId="77777777" w:rsidR="00CC0740" w:rsidRPr="00F14E23" w:rsidRDefault="00CC0740" w:rsidP="00CC0740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Für jedes Kind sind dafür 10 Minuten vorgesehen.</w:t>
            </w:r>
            <w:r w:rsidR="00CE5320" w:rsidRPr="00F14E23">
              <w:rPr>
                <w:rFonts w:asciiTheme="majorHAnsi" w:hAnsiTheme="majorHAnsi"/>
                <w:sz w:val="24"/>
                <w:szCs w:val="24"/>
              </w:rPr>
              <w:t xml:space="preserve"> Danach wird das Bild farbig ausgedruckt.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188C78B" w14:textId="77777777" w:rsidR="00CC0740" w:rsidRPr="00525F18" w:rsidRDefault="00CC0740" w:rsidP="00CC074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25F18">
              <w:rPr>
                <w:rFonts w:asciiTheme="majorHAnsi" w:hAnsiTheme="majorHAnsi"/>
                <w:sz w:val="24"/>
                <w:szCs w:val="24"/>
                <w:lang w:val="en-GB"/>
              </w:rPr>
              <w:t>1:2 Computer</w:t>
            </w:r>
          </w:p>
          <w:p w14:paraId="275C22D9" w14:textId="77777777" w:rsidR="006B2138" w:rsidRPr="00525F18" w:rsidRDefault="00CC0740" w:rsidP="00CC074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25F18">
              <w:rPr>
                <w:rFonts w:asciiTheme="majorHAnsi" w:hAnsiTheme="majorHAnsi"/>
                <w:sz w:val="24"/>
                <w:szCs w:val="24"/>
                <w:lang w:val="en-GB"/>
              </w:rPr>
              <w:t>Tool „Drawing for children“</w:t>
            </w:r>
          </w:p>
          <w:p w14:paraId="14B1A258" w14:textId="77777777" w:rsidR="00CE5320" w:rsidRPr="00525F18" w:rsidRDefault="00CE5320" w:rsidP="00CC0740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7DADD6B1" w14:textId="26867CC3" w:rsidR="00CE5320" w:rsidRPr="00F14E23" w:rsidRDefault="00472434" w:rsidP="00CC0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Farbd</w:t>
            </w:r>
            <w:r w:rsidR="00CE5320" w:rsidRPr="00F14E23">
              <w:rPr>
                <w:rFonts w:asciiTheme="majorHAnsi" w:hAnsiTheme="majorHAnsi"/>
                <w:sz w:val="24"/>
                <w:szCs w:val="24"/>
              </w:rPr>
              <w:t>rucker</w:t>
            </w:r>
          </w:p>
        </w:tc>
      </w:tr>
      <w:tr w:rsidR="00F14E23" w:rsidRPr="003A7575" w14:paraId="5CEB193E" w14:textId="77777777" w:rsidTr="00F14E23">
        <w:trPr>
          <w:trHeight w:val="827"/>
        </w:trPr>
        <w:tc>
          <w:tcPr>
            <w:tcW w:w="2547" w:type="dxa"/>
            <w:shd w:val="clear" w:color="auto" w:fill="DEEAF6"/>
          </w:tcPr>
          <w:p w14:paraId="04DADA9D" w14:textId="77777777" w:rsidR="007F47B6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</w:t>
            </w:r>
          </w:p>
          <w:p w14:paraId="5B017307" w14:textId="77777777" w:rsidR="00CE5320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</w:t>
            </w:r>
            <w:r w:rsidR="00D77486">
              <w:rPr>
                <w:rFonts w:ascii="Calibri Light" w:hAnsi="Calibri Light"/>
                <w:sz w:val="24"/>
                <w:szCs w:val="24"/>
              </w:rPr>
              <w:t>-15</w:t>
            </w:r>
            <w:r>
              <w:rPr>
                <w:rFonts w:ascii="Calibri Light" w:hAnsi="Calibri Light"/>
                <w:sz w:val="24"/>
                <w:szCs w:val="24"/>
              </w:rPr>
              <w:t xml:space="preserve"> Minuten</w:t>
            </w:r>
          </w:p>
          <w:p w14:paraId="61A6C402" w14:textId="77777777" w:rsidR="00CE5320" w:rsidRDefault="00274961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Kugellager (siehe </w:t>
            </w:r>
            <w:hyperlink r:id="rId9" w:history="1">
              <w:r w:rsidR="00CE5320" w:rsidRPr="008F3C10">
                <w:rPr>
                  <w:rStyle w:val="Hyperlink"/>
                  <w:rFonts w:ascii="Calibri Light" w:hAnsi="Calibri Light"/>
                  <w:sz w:val="24"/>
                  <w:szCs w:val="24"/>
                </w:rPr>
                <w:t>https://www.methodenkartei.uni-oldenburg.de/uni_methode/kugellager/</w:t>
              </w:r>
            </w:hyperlink>
            <w:r w:rsidR="00CE5320">
              <w:rPr>
                <w:rFonts w:ascii="Calibri Light" w:hAnsi="Calibri Light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  <w:shd w:val="clear" w:color="auto" w:fill="DEEAF6"/>
          </w:tcPr>
          <w:p w14:paraId="55BA7337" w14:textId="77777777" w:rsidR="007F47B6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Lehrkraft bittet die Schülerinnen und Schüler sich mit ihrem Bild für die Präsentation im Kugellager aufzustellen.</w:t>
            </w:r>
          </w:p>
          <w:p w14:paraId="6CE2F3CC" w14:textId="77777777" w:rsidR="00274961" w:rsidRDefault="00274961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Nun präsentieren sie </w:t>
            </w:r>
            <w:r w:rsidR="00490B3E">
              <w:rPr>
                <w:rFonts w:ascii="Calibri Light" w:hAnsi="Calibri Light"/>
                <w:sz w:val="24"/>
                <w:szCs w:val="24"/>
              </w:rPr>
              <w:t xml:space="preserve">ihre individuellen </w:t>
            </w:r>
            <w:r>
              <w:rPr>
                <w:rFonts w:ascii="Calibri Light" w:hAnsi="Calibri Light"/>
                <w:sz w:val="24"/>
                <w:szCs w:val="24"/>
              </w:rPr>
              <w:t xml:space="preserve">Bilder </w:t>
            </w:r>
            <w:r w:rsidR="00EC1CC3">
              <w:rPr>
                <w:rFonts w:ascii="Calibri Light" w:hAnsi="Calibri Light"/>
                <w:sz w:val="24"/>
                <w:szCs w:val="24"/>
              </w:rPr>
              <w:t>in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854444">
              <w:rPr>
                <w:rFonts w:ascii="Calibri Light" w:hAnsi="Calibri Light"/>
                <w:sz w:val="24"/>
                <w:szCs w:val="24"/>
              </w:rPr>
              <w:t>Partnergespräch</w:t>
            </w:r>
            <w:r w:rsidR="00136478">
              <w:rPr>
                <w:rFonts w:ascii="Calibri Light" w:hAnsi="Calibri Light"/>
                <w:sz w:val="24"/>
                <w:szCs w:val="24"/>
              </w:rPr>
              <w:t>en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  <w:p w14:paraId="59AFCBC0" w14:textId="77777777" w:rsidR="00274961" w:rsidRDefault="00274961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48285B4B" w14:textId="77777777" w:rsidR="00CE5320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EEAF6"/>
          </w:tcPr>
          <w:p w14:paraId="4F431E38" w14:textId="77777777" w:rsidR="007F47B6" w:rsidRDefault="00274961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ausgedruckte Bilder</w:t>
            </w:r>
          </w:p>
        </w:tc>
      </w:tr>
    </w:tbl>
    <w:p w14:paraId="423443A1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6A1344BD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0040EAEB" w14:textId="77777777"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8C845" w14:textId="77777777" w:rsidR="00611731" w:rsidRDefault="00611731" w:rsidP="003A7575">
      <w:pPr>
        <w:spacing w:after="0" w:line="240" w:lineRule="auto"/>
      </w:pPr>
      <w:r>
        <w:separator/>
      </w:r>
    </w:p>
  </w:endnote>
  <w:endnote w:type="continuationSeparator" w:id="0">
    <w:p w14:paraId="0774A865" w14:textId="77777777" w:rsidR="00611731" w:rsidRDefault="00611731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70623" w14:textId="77777777" w:rsidR="00A31EA9" w:rsidRDefault="00E0400D" w:rsidP="00A31EA9">
    <w:pPr>
      <w:pStyle w:val="Fuzeile"/>
      <w:jc w:val="right"/>
    </w:pPr>
    <w:r w:rsidRPr="00E0400D">
      <w:t>Kunstprojekt Piet Mondrian</w:t>
    </w:r>
    <w:r w:rsidR="00A31EA9">
      <w:br/>
      <w:t xml:space="preserve">Dieses Material </w:t>
    </w:r>
    <w:r w:rsidR="00406697">
      <w:t xml:space="preserve">wurde erstellt von </w:t>
    </w:r>
    <w:r>
      <w:t xml:space="preserve">Angelika </w:t>
    </w:r>
    <w:proofErr w:type="spellStart"/>
    <w:r>
      <w:t>Freith</w:t>
    </w:r>
    <w:proofErr w:type="spellEnd"/>
    <w:r>
      <w:t xml:space="preserve"> und Lisa-Maria Schuck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6F332CC7" w14:textId="77777777"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71D0865C" wp14:editId="67BF7779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BE65" w14:textId="77777777" w:rsidR="00611731" w:rsidRDefault="00611731" w:rsidP="003A7575">
      <w:pPr>
        <w:spacing w:after="0" w:line="240" w:lineRule="auto"/>
      </w:pPr>
      <w:r>
        <w:separator/>
      </w:r>
    </w:p>
  </w:footnote>
  <w:footnote w:type="continuationSeparator" w:id="0">
    <w:p w14:paraId="750EB651" w14:textId="77777777" w:rsidR="00611731" w:rsidRDefault="00611731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016EA" w14:textId="77777777" w:rsidR="00592F08" w:rsidRPr="0055325B" w:rsidRDefault="00E0400D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  <w:lang w:eastAsia="zh-CN"/>
      </w:rPr>
      <w:t>Unterrichtsverlauf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44F57"/>
    <w:multiLevelType w:val="hybridMultilevel"/>
    <w:tmpl w:val="02F0F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E0F76"/>
    <w:multiLevelType w:val="hybridMultilevel"/>
    <w:tmpl w:val="43964D4A"/>
    <w:lvl w:ilvl="0" w:tplc="8F5C5C7A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47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568D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3732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4961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13AD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522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64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2434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0B3E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5F18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731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AB6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444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54C1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740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320"/>
    <w:rsid w:val="00CE567F"/>
    <w:rsid w:val="00CE6928"/>
    <w:rsid w:val="00CE7709"/>
    <w:rsid w:val="00CE7B79"/>
    <w:rsid w:val="00CF04CA"/>
    <w:rsid w:val="00CF0640"/>
    <w:rsid w:val="00CF06CC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4210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486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400D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1CC3"/>
    <w:rsid w:val="00EC215D"/>
    <w:rsid w:val="00EC2D2E"/>
    <w:rsid w:val="00EC3E2F"/>
    <w:rsid w:val="00EC40CC"/>
    <w:rsid w:val="00EC43C8"/>
    <w:rsid w:val="00EC48CD"/>
    <w:rsid w:val="00EC595E"/>
    <w:rsid w:val="00EC5F03"/>
    <w:rsid w:val="00EC63C4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E23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00D2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A597"/>
  <w15:docId w15:val="{49743F23-6773-43C9-9959-BC8977E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images/search/piet%20mondri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thodenkartei.uni-oldenburg.de/uni_methode/kugellage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156CE-79AC-48B9-9BC4-AF8DF969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2C366B18.dotm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2286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Wacker, Felix</cp:lastModifiedBy>
  <cp:revision>4</cp:revision>
  <cp:lastPrinted>2018-06-05T08:23:00Z</cp:lastPrinted>
  <dcterms:created xsi:type="dcterms:W3CDTF">2019-09-05T16:28:00Z</dcterms:created>
  <dcterms:modified xsi:type="dcterms:W3CDTF">2019-10-22T09:41:00Z</dcterms:modified>
</cp:coreProperties>
</file>