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470" w:rsidRDefault="00DF7FE7">
      <w:pPr>
        <w:pBdr>
          <w:bottom w:val="single" w:sz="12" w:space="0" w:color="000000"/>
        </w:pBd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Kollaboratives Arbeiten im Sportunterricht</w:t>
      </w:r>
    </w:p>
    <w:p w:rsidR="00F04470" w:rsidRDefault="00F04470">
      <w:pPr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4719"/>
        <w:gridCol w:w="2390"/>
      </w:tblGrid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Phase/ (Zeit) /Methode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Beschreibung/ Inhalt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Material/ Medien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Vorbereitende Hausaufgabe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Die Schülerinnen und Schüler erarbeiten anhand eines </w:t>
            </w:r>
            <w:proofErr w:type="spellStart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Lernvidoes</w:t>
            </w:r>
            <w:proofErr w:type="spellEnd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die Regeln für ein Sportspiel, das in der nächsten Stunde 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gespielt wird.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M1, Smartphone/ Tablet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Aufwärmen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Sportartspezifisches Aufwärmen. Da es sich hier um ein Abwurfspiel handelt, sollte besonders eine Erwärmung des Oberkörpers erfolgen.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F04470">
            <w:pPr>
              <w:rPr>
                <w:sz w:val="20"/>
                <w:szCs w:val="20"/>
              </w:rPr>
            </w:pP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Erprobungsphase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Variante 1: Diese Phase kann selbstorganisiert von den 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Schülerinnen und Schülern durchgeführt werden, da davon auszugehen ist, dass sie das Spiel durch die Hausaufgabe erarbeitet haben. Unklarheiten hinsichtlich des Regelwerks werden in kurzen Reflexionsphasen geklärt.</w:t>
            </w:r>
          </w:p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Variante 2: Zunächst wird die Hausaufgabe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und die erarbeitenden Regeln besprochen. Ziel dieser Phase ist es, offene Fragen hinsichtlich des Regelwerks zu beantworten.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Softbälle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Reflexionsphase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In dieser Phase wird das Sportspiel hinsichtlich der Spielidee besprochen, offene Fragen werden geklärt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und Probleme in Bezug auf das Regelwerk geklärt.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Evtl. Übersichtsplakat mit den Regeltypen nach Digel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Erarbeitung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Der Lehrer nennt einen </w:t>
            </w:r>
            <w:proofErr w:type="spellStart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Regeltyp</w:t>
            </w:r>
            <w:proofErr w:type="spellEnd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nach Digel und bittet die Schülerinnen und Schüler möglich Varianten zu nennen, die sich in das Spiel 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integrieren lassen. Hier ist besonders darauf zu achten, dass die Regeländerung sinnvoll ist und entsprechenden Sicherheitsregeln entspricht.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Evtl. Übersichtsplakat mit den Regeltypen nach Digel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Erprobungspha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se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Die Regelä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nderungen werden in das Spiel 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 xml:space="preserve">integriert und das Spiel gespielt.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Geräte je nach Bedarf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 xml:space="preserve">Hausaufgaben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Der Lehrer erläutert die Hausaufgabe und verteilt das Arbeitsblatt. Das padlet als </w:t>
            </w:r>
            <w:proofErr w:type="spellStart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kollaboratives</w:t>
            </w:r>
            <w:proofErr w:type="spellEnd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Tool muss zunächst angelegt werden und als QR Code auf 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dem Arbeitsblatt hinterlegt sein.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M2, padlet, Evtl. Übersichtsplakat mit den Regeltypen nach Digel</w:t>
            </w:r>
          </w:p>
        </w:tc>
      </w:tr>
      <w:tr w:rsidR="00F04470" w:rsidRPr="00F26CB9" w:rsidTr="00F2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Nächste Sportstunde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Die gesammelten Regeländerungen auf dem padlet werden vorgestellt und diskutiert. Ausgewählte Regeln (je nach „</w:t>
            </w:r>
            <w:proofErr w:type="spellStart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Likes</w:t>
            </w:r>
            <w:proofErr w:type="spellEnd"/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“ im padlet) werden</w:t>
            </w: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das Spiel integriert und anschließend reflektiert.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4470" w:rsidRPr="00F26CB9" w:rsidRDefault="00DF7FE7">
            <w:pPr>
              <w:rPr>
                <w:sz w:val="20"/>
                <w:szCs w:val="20"/>
              </w:rPr>
            </w:pPr>
            <w:r w:rsidRPr="00F26CB9">
              <w:rPr>
                <w:rFonts w:ascii="Calibri Light" w:eastAsia="Calibri Light" w:hAnsi="Calibri Light" w:cs="Calibri Light"/>
                <w:sz w:val="20"/>
                <w:szCs w:val="20"/>
              </w:rPr>
              <w:t>Material nach Bedarf</w:t>
            </w:r>
          </w:p>
        </w:tc>
      </w:tr>
    </w:tbl>
    <w:p w:rsidR="00F04470" w:rsidRDefault="00F04470">
      <w:pPr>
        <w:spacing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F04470" w:rsidRDefault="00F04470">
      <w:pPr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p w:rsidR="00F04470" w:rsidRDefault="00DF7FE7">
      <w:pPr>
        <w:jc w:val="both"/>
      </w:pPr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bookmarkStart w:id="0" w:name="_GoBack"/>
      <w:bookmarkEnd w:id="0"/>
    </w:p>
    <w:sectPr w:rsidR="00F0447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7FE7">
      <w:pPr>
        <w:spacing w:after="0" w:line="240" w:lineRule="auto"/>
      </w:pPr>
      <w:r>
        <w:separator/>
      </w:r>
    </w:p>
  </w:endnote>
  <w:endnote w:type="continuationSeparator" w:id="0">
    <w:p w:rsidR="00000000" w:rsidRDefault="00DF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70" w:rsidRDefault="00DF7FE7">
    <w:pPr>
      <w:pStyle w:val="Fuzeile"/>
      <w:tabs>
        <w:tab w:val="clear" w:pos="9072"/>
        <w:tab w:val="right" w:pos="9046"/>
      </w:tabs>
      <w:jc w:val="right"/>
    </w:pPr>
    <w:r>
      <w:t>Transparenter Verlauf</w:t>
    </w:r>
    <w:r>
      <w:br/>
    </w:r>
    <w:r>
      <w:t xml:space="preserve">Dieses Material wurde erstellt von Michael Busch und steht unter der Lizenz </w:t>
    </w:r>
    <w:hyperlink r:id="rId1" w:history="1">
      <w:r>
        <w:rPr>
          <w:rStyle w:val="Hyperlink0"/>
        </w:rPr>
        <w:t>CC BY-NC-SA 3.0</w:t>
      </w:r>
    </w:hyperlink>
  </w:p>
  <w:p w:rsidR="00F04470" w:rsidRDefault="00DF7FE7">
    <w:pPr>
      <w:pStyle w:val="Fuzeile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>
          <wp:extent cx="1113790" cy="389255"/>
          <wp:effectExtent l="0" t="0" r="0" b="0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7FE7">
      <w:pPr>
        <w:spacing w:after="0" w:line="240" w:lineRule="auto"/>
      </w:pPr>
      <w:r>
        <w:separator/>
      </w:r>
    </w:p>
  </w:footnote>
  <w:footnote w:type="continuationSeparator" w:id="0">
    <w:p w:rsidR="00000000" w:rsidRDefault="00DF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70" w:rsidRDefault="00DF7FE7">
    <w:pPr>
      <w:pStyle w:val="Kopfzeile"/>
      <w:tabs>
        <w:tab w:val="clear" w:pos="9072"/>
        <w:tab w:val="right" w:pos="9046"/>
      </w:tabs>
    </w:pPr>
    <w:r>
      <w:rPr>
        <w:b/>
        <w:bCs/>
        <w:sz w:val="24"/>
        <w:szCs w:val="24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4470"/>
    <w:rsid w:val="00DF7FE7"/>
    <w:rsid w:val="00F04470"/>
    <w:rsid w:val="00F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CB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CB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Puderbach, Thorsten</dc:creator>
  <cp:lastModifiedBy>Puderbach, Thorsten</cp:lastModifiedBy>
  <cp:revision>3</cp:revision>
  <cp:lastPrinted>2018-08-22T12:50:00Z</cp:lastPrinted>
  <dcterms:created xsi:type="dcterms:W3CDTF">2018-08-22T12:49:00Z</dcterms:created>
  <dcterms:modified xsi:type="dcterms:W3CDTF">2018-08-22T12:50:00Z</dcterms:modified>
</cp:coreProperties>
</file>