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BCC4D" w14:textId="22CF8E63" w:rsidR="00E15A32" w:rsidRPr="00484E8F" w:rsidRDefault="007D6615" w:rsidP="00E15A32">
      <w:pPr>
        <w:pBdr>
          <w:bottom w:val="single" w:sz="12" w:space="1" w:color="auto"/>
        </w:pBdr>
        <w:rPr>
          <w:rFonts w:ascii="Calibri Light" w:hAnsi="Calibri Light"/>
        </w:rPr>
      </w:pPr>
      <w:r w:rsidRPr="00484E8F">
        <w:rPr>
          <w:rFonts w:ascii="Calibri Light" w:hAnsi="Calibri Light"/>
          <w:b/>
        </w:rPr>
        <w:t>Löslichkeitsgleichgewichte</w:t>
      </w:r>
      <w:r w:rsidR="00AC0760" w:rsidRPr="00484E8F">
        <w:rPr>
          <w:rFonts w:ascii="Calibri Light" w:hAnsi="Calibri Light"/>
        </w:rPr>
        <w:tab/>
      </w:r>
      <w:r w:rsidR="00035690" w:rsidRPr="00484E8F">
        <w:rPr>
          <w:rFonts w:ascii="Calibri Light" w:hAnsi="Calibri Light"/>
        </w:rPr>
        <w:t xml:space="preserve">        </w:t>
      </w:r>
      <w:r w:rsidR="00D133D2" w:rsidRPr="00484E8F">
        <w:rPr>
          <w:rFonts w:ascii="Calibri Light" w:hAnsi="Calibri Light"/>
        </w:rPr>
        <w:t xml:space="preserve"> </w:t>
      </w: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408"/>
        <w:gridCol w:w="1958"/>
      </w:tblGrid>
      <w:tr w:rsidR="00E15A32" w:rsidRPr="00E15A32" w14:paraId="7C30651C" w14:textId="77777777" w:rsidTr="00E15A32">
        <w:tc>
          <w:tcPr>
            <w:tcW w:w="1696" w:type="dxa"/>
            <w:tcBorders>
              <w:bottom w:val="single" w:sz="4" w:space="0" w:color="auto"/>
            </w:tcBorders>
            <w:shd w:val="clear" w:color="auto" w:fill="DEEAF6" w:themeFill="accent1" w:themeFillTint="33"/>
          </w:tcPr>
          <w:p w14:paraId="15CFE794"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Phase/ (Zeit) /Methode</w:t>
            </w:r>
          </w:p>
        </w:tc>
        <w:tc>
          <w:tcPr>
            <w:tcW w:w="5408" w:type="dxa"/>
            <w:tcBorders>
              <w:bottom w:val="single" w:sz="4" w:space="0" w:color="auto"/>
            </w:tcBorders>
            <w:shd w:val="clear" w:color="auto" w:fill="DEEAF6" w:themeFill="accent1" w:themeFillTint="33"/>
          </w:tcPr>
          <w:p w14:paraId="63F3C2F3"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Beschreibung/ Inhalt</w:t>
            </w:r>
          </w:p>
        </w:tc>
        <w:tc>
          <w:tcPr>
            <w:tcW w:w="1958" w:type="dxa"/>
            <w:tcBorders>
              <w:bottom w:val="single" w:sz="4" w:space="0" w:color="auto"/>
            </w:tcBorders>
            <w:shd w:val="clear" w:color="auto" w:fill="DEEAF6" w:themeFill="accent1" w:themeFillTint="33"/>
          </w:tcPr>
          <w:p w14:paraId="198AC83C"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Material/ Medien</w:t>
            </w:r>
          </w:p>
        </w:tc>
      </w:tr>
      <w:tr w:rsidR="00E15A32" w:rsidRPr="00E15A32" w14:paraId="6ABD4725" w14:textId="77777777" w:rsidTr="00E15A32">
        <w:trPr>
          <w:trHeight w:val="857"/>
        </w:trPr>
        <w:tc>
          <w:tcPr>
            <w:tcW w:w="1696" w:type="dxa"/>
            <w:tcBorders>
              <w:bottom w:val="single" w:sz="4" w:space="0" w:color="auto"/>
            </w:tcBorders>
            <w:shd w:val="clear" w:color="auto" w:fill="auto"/>
          </w:tcPr>
          <w:p w14:paraId="67A3CFAA"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Vorbereitung I</w:t>
            </w:r>
          </w:p>
        </w:tc>
        <w:tc>
          <w:tcPr>
            <w:tcW w:w="5408" w:type="dxa"/>
            <w:shd w:val="clear" w:color="auto" w:fill="auto"/>
          </w:tcPr>
          <w:p w14:paraId="1262AD90"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LDE: Lösen zweier Salze in einem Becherglas mit Wasser – Materialien aus der Sammlung bereitlegen</w:t>
            </w:r>
          </w:p>
        </w:tc>
        <w:tc>
          <w:tcPr>
            <w:tcW w:w="1958" w:type="dxa"/>
            <w:shd w:val="clear" w:color="auto" w:fill="auto"/>
          </w:tcPr>
          <w:p w14:paraId="6EA92A00"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 xml:space="preserve">2x Becherglas (250 </w:t>
            </w:r>
            <w:proofErr w:type="spellStart"/>
            <w:r w:rsidRPr="00484E8F">
              <w:rPr>
                <w:rFonts w:asciiTheme="minorHAnsi" w:hAnsiTheme="minorHAnsi" w:cstheme="minorHAnsi"/>
                <w:sz w:val="18"/>
                <w:szCs w:val="18"/>
              </w:rPr>
              <w:t>mL</w:t>
            </w:r>
            <w:proofErr w:type="spellEnd"/>
            <w:r w:rsidRPr="00484E8F">
              <w:rPr>
                <w:rFonts w:asciiTheme="minorHAnsi" w:hAnsiTheme="minorHAnsi" w:cstheme="minorHAnsi"/>
                <w:sz w:val="18"/>
                <w:szCs w:val="18"/>
              </w:rPr>
              <w:t>), Wasser, Natriumchlorid, Calciumcarbonat gleicher Mengen (ggf. abwiegen), 2x Spatel, ggf. Magnetrührer mit Rührstäbchen</w:t>
            </w:r>
          </w:p>
        </w:tc>
      </w:tr>
      <w:tr w:rsidR="00E15A32" w:rsidRPr="00E15A32" w14:paraId="7D16D0CF" w14:textId="77777777" w:rsidTr="00E15A32">
        <w:trPr>
          <w:trHeight w:val="4162"/>
        </w:trPr>
        <w:tc>
          <w:tcPr>
            <w:tcW w:w="1696" w:type="dxa"/>
            <w:tcBorders>
              <w:bottom w:val="single" w:sz="4" w:space="0" w:color="auto"/>
            </w:tcBorders>
            <w:shd w:val="clear" w:color="auto" w:fill="auto"/>
          </w:tcPr>
          <w:p w14:paraId="7A5F4E19"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 xml:space="preserve"> 10‘</w:t>
            </w:r>
          </w:p>
          <w:p w14:paraId="3544185B"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Einstieg im Plenum: LDE vorführen</w:t>
            </w:r>
          </w:p>
          <w:p w14:paraId="10673DE4"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b/>
                <w:sz w:val="18"/>
                <w:szCs w:val="18"/>
              </w:rPr>
              <w:t>Plenum: Lehrer-Schüler-Gespräch</w:t>
            </w:r>
          </w:p>
        </w:tc>
        <w:tc>
          <w:tcPr>
            <w:tcW w:w="5408" w:type="dxa"/>
            <w:tcBorders>
              <w:bottom w:val="single" w:sz="4" w:space="0" w:color="auto"/>
            </w:tcBorders>
            <w:shd w:val="clear" w:color="auto" w:fill="auto"/>
          </w:tcPr>
          <w:p w14:paraId="63BE1DB5"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r w:rsidRPr="00484E8F">
              <w:rPr>
                <w:rFonts w:asciiTheme="minorHAnsi" w:eastAsia="Calibri" w:hAnsiTheme="minorHAnsi" w:cstheme="minorHAnsi"/>
                <w:kern w:val="0"/>
                <w:sz w:val="18"/>
                <w:szCs w:val="18"/>
                <w:lang w:eastAsia="en-US" w:bidi="ar-SA"/>
              </w:rPr>
              <w:t>Gleiche Mengen der Salze werden im Wasser der Bechergläser gelöst und die Mischung verrührt. Nach einiger Zeit des Wartens beschreiben die SuS ihre Beobachtungen.</w:t>
            </w:r>
          </w:p>
          <w:p w14:paraId="0F868658"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p>
          <w:p w14:paraId="36DC8C6D"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r w:rsidRPr="00484E8F">
              <w:rPr>
                <w:rFonts w:asciiTheme="minorHAnsi" w:eastAsia="Calibri" w:hAnsiTheme="minorHAnsi" w:cstheme="minorHAnsi"/>
                <w:i/>
                <w:kern w:val="0"/>
                <w:sz w:val="18"/>
                <w:szCs w:val="18"/>
                <w:lang w:eastAsia="en-US" w:bidi="ar-SA"/>
              </w:rPr>
              <w:t xml:space="preserve">Erwartetes Schülerverhalten: „Beim Natriumchlorid hat sich alles gelöst und die Lösung erscheint klar und farblos. Die </w:t>
            </w:r>
            <w:proofErr w:type="spellStart"/>
            <w:r w:rsidRPr="00484E8F">
              <w:rPr>
                <w:rFonts w:asciiTheme="minorHAnsi" w:eastAsia="Calibri" w:hAnsiTheme="minorHAnsi" w:cstheme="minorHAnsi"/>
                <w:i/>
                <w:kern w:val="0"/>
                <w:sz w:val="18"/>
                <w:szCs w:val="18"/>
                <w:lang w:eastAsia="en-US" w:bidi="ar-SA"/>
              </w:rPr>
              <w:t>Calciumcarbonatlösung</w:t>
            </w:r>
            <w:proofErr w:type="spellEnd"/>
            <w:r w:rsidRPr="00484E8F">
              <w:rPr>
                <w:rFonts w:asciiTheme="minorHAnsi" w:eastAsia="Calibri" w:hAnsiTheme="minorHAnsi" w:cstheme="minorHAnsi"/>
                <w:i/>
                <w:kern w:val="0"/>
                <w:sz w:val="18"/>
                <w:szCs w:val="18"/>
                <w:lang w:eastAsia="en-US" w:bidi="ar-SA"/>
              </w:rPr>
              <w:t xml:space="preserve"> ist milchig-trüb (Aufschlämmung</w:t>
            </w:r>
            <w:r w:rsidRPr="00484E8F">
              <w:rPr>
                <w:rFonts w:asciiTheme="minorHAnsi" w:eastAsia="Calibri" w:hAnsiTheme="minorHAnsi" w:cstheme="minorHAnsi"/>
                <w:kern w:val="0"/>
                <w:sz w:val="18"/>
                <w:szCs w:val="18"/>
                <w:lang w:eastAsia="en-US" w:bidi="ar-SA"/>
              </w:rPr>
              <w:t xml:space="preserve">).“ </w:t>
            </w:r>
          </w:p>
          <w:p w14:paraId="4603FCC0"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p>
          <w:p w14:paraId="220432B6"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r w:rsidRPr="00484E8F">
              <w:rPr>
                <w:rFonts w:asciiTheme="minorHAnsi" w:eastAsia="Calibri" w:hAnsiTheme="minorHAnsi" w:cstheme="minorHAnsi"/>
                <w:kern w:val="0"/>
                <w:sz w:val="18"/>
                <w:szCs w:val="18"/>
                <w:lang w:eastAsia="en-US" w:bidi="ar-SA"/>
              </w:rPr>
              <w:t>Nach einiger Zeit des Stehenlassens erscheinen beide Lösungen klar, wobei sich im Becherglas mit Calciumcarbonat ein Bodenkörper gebildet hat.</w:t>
            </w:r>
          </w:p>
          <w:p w14:paraId="161A253F" w14:textId="77777777" w:rsidR="00E15A32" w:rsidRPr="00484E8F" w:rsidRDefault="00E15A32" w:rsidP="00E15A32">
            <w:pPr>
              <w:pStyle w:val="Tabelleninhalt"/>
              <w:rPr>
                <w:rFonts w:asciiTheme="minorHAnsi" w:eastAsia="Calibri" w:hAnsiTheme="minorHAnsi" w:cstheme="minorHAnsi"/>
                <w:kern w:val="0"/>
                <w:sz w:val="18"/>
                <w:szCs w:val="18"/>
                <w:lang w:eastAsia="en-US" w:bidi="ar-SA"/>
              </w:rPr>
            </w:pPr>
            <w:r w:rsidRPr="00484E8F">
              <w:rPr>
                <w:rFonts w:asciiTheme="minorHAnsi" w:eastAsia="Calibri" w:hAnsiTheme="minorHAnsi" w:cstheme="minorHAnsi"/>
                <w:kern w:val="0"/>
                <w:sz w:val="18"/>
                <w:szCs w:val="18"/>
                <w:lang w:eastAsia="en-US" w:bidi="ar-SA"/>
              </w:rPr>
              <w:t>Es kann nach einiger Zeit jeweils noch mehr Salz gelöst werden. So ist zu erkennen, dass der Bodenkörper beim Calciumcarbonat zunimmt. Beim Natriumchlorid lösen sich die Kristalle auf. Je nachdem wie viel Salz verwendet wird, kann man auch beim Natriumchlorid nach einiger Zeit einen Bodenkörper erkennen.</w:t>
            </w:r>
          </w:p>
        </w:tc>
        <w:tc>
          <w:tcPr>
            <w:tcW w:w="1958" w:type="dxa"/>
            <w:tcBorders>
              <w:bottom w:val="single" w:sz="4" w:space="0" w:color="auto"/>
            </w:tcBorders>
            <w:shd w:val="clear" w:color="auto" w:fill="auto"/>
          </w:tcPr>
          <w:p w14:paraId="04138D0D"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Siehe Vorbereitung I</w:t>
            </w:r>
          </w:p>
        </w:tc>
      </w:tr>
      <w:tr w:rsidR="00E15A32" w:rsidRPr="00E15A32" w14:paraId="4748E77B" w14:textId="77777777" w:rsidTr="00E15A32">
        <w:trPr>
          <w:trHeight w:val="688"/>
        </w:trPr>
        <w:tc>
          <w:tcPr>
            <w:tcW w:w="1696" w:type="dxa"/>
            <w:tcBorders>
              <w:bottom w:val="single" w:sz="4" w:space="0" w:color="auto"/>
            </w:tcBorders>
            <w:shd w:val="clear" w:color="auto" w:fill="auto"/>
          </w:tcPr>
          <w:p w14:paraId="40D0080F" w14:textId="59822449"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5‘ Überleitung</w:t>
            </w:r>
          </w:p>
        </w:tc>
        <w:tc>
          <w:tcPr>
            <w:tcW w:w="5408" w:type="dxa"/>
            <w:tcBorders>
              <w:bottom w:val="single" w:sz="4" w:space="0" w:color="auto"/>
            </w:tcBorders>
            <w:shd w:val="clear" w:color="auto" w:fill="auto"/>
          </w:tcPr>
          <w:p w14:paraId="07D2087C"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Arbeitsblatt 01 wird ausgeteilt und die SuS lesen die Arbeitsaufträge. Sie stellen ggf. Fragen.</w:t>
            </w:r>
          </w:p>
        </w:tc>
        <w:tc>
          <w:tcPr>
            <w:tcW w:w="1958" w:type="dxa"/>
            <w:tcBorders>
              <w:bottom w:val="single" w:sz="4" w:space="0" w:color="auto"/>
            </w:tcBorders>
            <w:shd w:val="clear" w:color="auto" w:fill="auto"/>
          </w:tcPr>
          <w:p w14:paraId="1F9C3924"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Arbeitsblatt 01</w:t>
            </w:r>
          </w:p>
        </w:tc>
      </w:tr>
      <w:tr w:rsidR="00E15A32" w:rsidRPr="00E15A32" w14:paraId="15C4308F" w14:textId="77777777" w:rsidTr="00E15A32">
        <w:trPr>
          <w:trHeight w:val="970"/>
        </w:trPr>
        <w:tc>
          <w:tcPr>
            <w:tcW w:w="1696" w:type="dxa"/>
            <w:tcBorders>
              <w:bottom w:val="single" w:sz="4" w:space="0" w:color="auto"/>
            </w:tcBorders>
            <w:shd w:val="clear" w:color="auto" w:fill="auto"/>
          </w:tcPr>
          <w:p w14:paraId="52E52583"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 xml:space="preserve">15‘ </w:t>
            </w:r>
          </w:p>
          <w:p w14:paraId="3BDCE589"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Erarbeitung I</w:t>
            </w:r>
          </w:p>
          <w:p w14:paraId="245E9588"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Einzelarbeit/</w:t>
            </w:r>
            <w:r w:rsidRPr="00484E8F">
              <w:rPr>
                <w:rFonts w:asciiTheme="minorHAnsi" w:hAnsiTheme="minorHAnsi" w:cstheme="minorHAnsi"/>
                <w:b/>
                <w:sz w:val="18"/>
                <w:szCs w:val="18"/>
              </w:rPr>
              <w:br/>
              <w:t>Partnerarbeit</w:t>
            </w:r>
          </w:p>
        </w:tc>
        <w:tc>
          <w:tcPr>
            <w:tcW w:w="5408" w:type="dxa"/>
            <w:tcBorders>
              <w:bottom w:val="single" w:sz="4" w:space="0" w:color="auto"/>
            </w:tcBorders>
            <w:shd w:val="clear" w:color="auto" w:fill="auto"/>
          </w:tcPr>
          <w:p w14:paraId="5B9B574C"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Die Schülerinnen und Schüler bearbeiten das Arbeitsblatt 01 (Arbeitsaufträge 1 und 2) mit den Tablets, ihren Smartphones oder am Computer und notieren ihre Ergebnisse aus den Simulationsexperimenten.</w:t>
            </w:r>
          </w:p>
        </w:tc>
        <w:tc>
          <w:tcPr>
            <w:tcW w:w="1958" w:type="dxa"/>
            <w:tcBorders>
              <w:bottom w:val="single" w:sz="4" w:space="0" w:color="auto"/>
            </w:tcBorders>
            <w:shd w:val="clear" w:color="auto" w:fill="auto"/>
          </w:tcPr>
          <w:p w14:paraId="7170F717"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Arbeitsblatt 01, internetfähiges Endgerät</w:t>
            </w:r>
          </w:p>
        </w:tc>
      </w:tr>
      <w:tr w:rsidR="00E15A32" w:rsidRPr="00E15A32" w14:paraId="111ED038" w14:textId="77777777" w:rsidTr="00E15A32">
        <w:tc>
          <w:tcPr>
            <w:tcW w:w="1696" w:type="dxa"/>
            <w:tcBorders>
              <w:bottom w:val="single" w:sz="4" w:space="0" w:color="auto"/>
            </w:tcBorders>
            <w:shd w:val="clear" w:color="auto" w:fill="auto"/>
          </w:tcPr>
          <w:p w14:paraId="22879386"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10‘</w:t>
            </w:r>
          </w:p>
          <w:p w14:paraId="463350A6"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Auswertung I</w:t>
            </w:r>
          </w:p>
          <w:p w14:paraId="39A9C965"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Plenum: Lehrer-Schüler-Gespräch</w:t>
            </w:r>
          </w:p>
        </w:tc>
        <w:tc>
          <w:tcPr>
            <w:tcW w:w="5408" w:type="dxa"/>
            <w:tcBorders>
              <w:bottom w:val="single" w:sz="4" w:space="0" w:color="auto"/>
            </w:tcBorders>
            <w:shd w:val="clear" w:color="auto" w:fill="auto"/>
          </w:tcPr>
          <w:p w14:paraId="41A00068"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Die Schülerinnen und Schüler präsentieren ihre Ergebnisse. Lehrer fragt ggf. nach.</w:t>
            </w:r>
          </w:p>
          <w:p w14:paraId="323C7205"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Definition von „gesättigter Lösung“ wird zusammengetragen</w:t>
            </w:r>
          </w:p>
        </w:tc>
        <w:tc>
          <w:tcPr>
            <w:tcW w:w="1958" w:type="dxa"/>
            <w:tcBorders>
              <w:bottom w:val="single" w:sz="4" w:space="0" w:color="auto"/>
            </w:tcBorders>
            <w:shd w:val="clear" w:color="auto" w:fill="auto"/>
          </w:tcPr>
          <w:p w14:paraId="53EEF44B"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Arbeitsblatt 01, Notizen der SuS</w:t>
            </w:r>
          </w:p>
        </w:tc>
      </w:tr>
      <w:tr w:rsidR="00E15A32" w:rsidRPr="00E15A32" w14:paraId="3875CEFD" w14:textId="77777777" w:rsidTr="00E15A32">
        <w:trPr>
          <w:trHeight w:val="1988"/>
        </w:trPr>
        <w:tc>
          <w:tcPr>
            <w:tcW w:w="1696" w:type="dxa"/>
            <w:shd w:val="clear" w:color="auto" w:fill="auto"/>
          </w:tcPr>
          <w:p w14:paraId="6626A831"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lastRenderedPageBreak/>
              <w:t xml:space="preserve"> 40‘</w:t>
            </w:r>
          </w:p>
          <w:p w14:paraId="740F5450" w14:textId="77777777" w:rsidR="00E15A32" w:rsidRPr="00484E8F" w:rsidRDefault="00E15A32" w:rsidP="00E15A32">
            <w:pPr>
              <w:spacing w:line="240" w:lineRule="auto"/>
              <w:rPr>
                <w:rFonts w:asciiTheme="minorHAnsi" w:hAnsiTheme="minorHAnsi" w:cstheme="minorHAnsi"/>
                <w:b/>
                <w:sz w:val="18"/>
                <w:szCs w:val="18"/>
              </w:rPr>
            </w:pPr>
            <w:r w:rsidRPr="00484E8F">
              <w:rPr>
                <w:rFonts w:asciiTheme="minorHAnsi" w:hAnsiTheme="minorHAnsi" w:cstheme="minorHAnsi"/>
                <w:b/>
                <w:sz w:val="18"/>
                <w:szCs w:val="18"/>
              </w:rPr>
              <w:t xml:space="preserve">Erarbeitung II Gruppenarbeit und SE </w:t>
            </w:r>
          </w:p>
        </w:tc>
        <w:tc>
          <w:tcPr>
            <w:tcW w:w="5408" w:type="dxa"/>
            <w:shd w:val="clear" w:color="auto" w:fill="auto"/>
          </w:tcPr>
          <w:p w14:paraId="0B226C37"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L. leitet in die Phase des Schülerexperimentes (SE) über</w:t>
            </w:r>
          </w:p>
          <w:p w14:paraId="429E23DE"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 xml:space="preserve">S. setzen sich in Gruppen zusammen und entwerfen ein Experiment zum Nachweis der Carbonate </w:t>
            </w:r>
          </w:p>
          <w:p w14:paraId="47D2C3BB"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S. protokollieren ihre Ergebnisse und Werten diese aus.</w:t>
            </w:r>
          </w:p>
          <w:p w14:paraId="7BABACBB"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S. räumen auf und säubern die Tische.</w:t>
            </w:r>
          </w:p>
        </w:tc>
        <w:tc>
          <w:tcPr>
            <w:tcW w:w="1958" w:type="dxa"/>
            <w:shd w:val="clear" w:color="auto" w:fill="auto"/>
          </w:tcPr>
          <w:p w14:paraId="040E6CEF" w14:textId="77777777" w:rsidR="00E15A32" w:rsidRPr="00484E8F" w:rsidRDefault="00E15A32" w:rsidP="00E15A32">
            <w:pPr>
              <w:spacing w:line="240" w:lineRule="auto"/>
              <w:rPr>
                <w:rFonts w:asciiTheme="minorHAnsi" w:hAnsiTheme="minorHAnsi" w:cstheme="minorHAnsi"/>
                <w:sz w:val="18"/>
                <w:szCs w:val="18"/>
              </w:rPr>
            </w:pPr>
            <w:r w:rsidRPr="00484E8F">
              <w:rPr>
                <w:rFonts w:asciiTheme="minorHAnsi" w:hAnsiTheme="minorHAnsi" w:cstheme="minorHAnsi"/>
                <w:sz w:val="18"/>
                <w:szCs w:val="18"/>
              </w:rPr>
              <w:t>Arbeitsblatt 01</w:t>
            </w:r>
            <w:r w:rsidRPr="00484E8F">
              <w:rPr>
                <w:rFonts w:asciiTheme="minorHAnsi" w:hAnsiTheme="minorHAnsi" w:cstheme="minorHAnsi"/>
                <w:sz w:val="18"/>
                <w:szCs w:val="18"/>
              </w:rPr>
              <w:br/>
              <w:t>Kalkwasser, CO</w:t>
            </w:r>
            <w:r w:rsidRPr="00484E8F">
              <w:rPr>
                <w:rFonts w:asciiTheme="minorHAnsi" w:hAnsiTheme="minorHAnsi" w:cstheme="minorHAnsi"/>
                <w:sz w:val="18"/>
                <w:szCs w:val="18"/>
                <w:vertAlign w:val="subscript"/>
              </w:rPr>
              <w:t>2</w:t>
            </w:r>
            <w:r w:rsidRPr="00484E8F">
              <w:rPr>
                <w:rFonts w:asciiTheme="minorHAnsi" w:hAnsiTheme="minorHAnsi" w:cstheme="minorHAnsi"/>
                <w:sz w:val="18"/>
                <w:szCs w:val="18"/>
              </w:rPr>
              <w:t xml:space="preserve"> (ggf. auch in Stahlflasche), Becherglas, Strohhalm, Schutzbrille, </w:t>
            </w:r>
          </w:p>
        </w:tc>
      </w:tr>
      <w:tr w:rsidR="00E15A32" w:rsidRPr="00E15A32" w14:paraId="64A999E7" w14:textId="77777777" w:rsidTr="00E15A32">
        <w:trPr>
          <w:trHeight w:val="827"/>
        </w:trPr>
        <w:tc>
          <w:tcPr>
            <w:tcW w:w="1696" w:type="dxa"/>
            <w:shd w:val="clear" w:color="auto" w:fill="auto"/>
          </w:tcPr>
          <w:p w14:paraId="1A92824D"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10‘</w:t>
            </w:r>
          </w:p>
          <w:p w14:paraId="019D74E8" w14:textId="77777777" w:rsidR="00E15A32" w:rsidRPr="00484E8F" w:rsidRDefault="00E15A32" w:rsidP="00E15A32">
            <w:pPr>
              <w:rPr>
                <w:rFonts w:asciiTheme="minorHAnsi" w:hAnsiTheme="minorHAnsi" w:cstheme="minorHAnsi"/>
                <w:b/>
                <w:sz w:val="18"/>
                <w:szCs w:val="18"/>
              </w:rPr>
            </w:pPr>
            <w:r w:rsidRPr="00484E8F">
              <w:rPr>
                <w:rFonts w:asciiTheme="minorHAnsi" w:hAnsiTheme="minorHAnsi" w:cstheme="minorHAnsi"/>
                <w:b/>
                <w:sz w:val="18"/>
                <w:szCs w:val="18"/>
              </w:rPr>
              <w:t>Auswertung II</w:t>
            </w:r>
          </w:p>
          <w:p w14:paraId="109A8CD9" w14:textId="77777777" w:rsidR="00E15A32" w:rsidRPr="00484E8F" w:rsidRDefault="00E15A32" w:rsidP="00E15A32">
            <w:pPr>
              <w:rPr>
                <w:rFonts w:asciiTheme="minorHAnsi" w:hAnsiTheme="minorHAnsi" w:cstheme="minorHAnsi"/>
                <w:sz w:val="18"/>
                <w:szCs w:val="18"/>
              </w:rPr>
            </w:pPr>
            <w:r w:rsidRPr="00484E8F">
              <w:rPr>
                <w:rFonts w:asciiTheme="minorHAnsi" w:hAnsiTheme="minorHAnsi" w:cstheme="minorHAnsi"/>
                <w:b/>
                <w:sz w:val="18"/>
                <w:szCs w:val="18"/>
              </w:rPr>
              <w:t>Plenum: Lehrer-Schüler-Gespräch</w:t>
            </w:r>
          </w:p>
        </w:tc>
        <w:tc>
          <w:tcPr>
            <w:tcW w:w="5408" w:type="dxa"/>
            <w:shd w:val="clear" w:color="auto" w:fill="auto"/>
          </w:tcPr>
          <w:p w14:paraId="141A2CE3" w14:textId="77777777" w:rsidR="00E15A32" w:rsidRPr="00484E8F" w:rsidRDefault="00E15A32" w:rsidP="00E15A32">
            <w:pPr>
              <w:rPr>
                <w:rFonts w:asciiTheme="minorHAnsi" w:hAnsiTheme="minorHAnsi" w:cstheme="minorHAnsi"/>
                <w:sz w:val="18"/>
                <w:szCs w:val="18"/>
              </w:rPr>
            </w:pPr>
            <w:r w:rsidRPr="00484E8F">
              <w:rPr>
                <w:rFonts w:asciiTheme="minorHAnsi" w:hAnsiTheme="minorHAnsi" w:cstheme="minorHAnsi"/>
                <w:sz w:val="18"/>
                <w:szCs w:val="18"/>
              </w:rPr>
              <w:t xml:space="preserve">Gruppen tragen ihre Ergebnisse zusammen </w:t>
            </w:r>
            <w:r w:rsidRPr="00484E8F">
              <w:rPr>
                <w:rFonts w:asciiTheme="minorHAnsi" w:hAnsiTheme="minorHAnsi" w:cstheme="minorHAnsi"/>
                <w:sz w:val="18"/>
                <w:szCs w:val="18"/>
              </w:rPr>
              <w:sym w:font="Wingdings" w:char="F0E0"/>
            </w:r>
            <w:r w:rsidRPr="00484E8F">
              <w:rPr>
                <w:rFonts w:asciiTheme="minorHAnsi" w:hAnsiTheme="minorHAnsi" w:cstheme="minorHAnsi"/>
                <w:sz w:val="18"/>
                <w:szCs w:val="18"/>
              </w:rPr>
              <w:t xml:space="preserve"> Aufzeichnungen werden vervollständigt</w:t>
            </w:r>
          </w:p>
          <w:p w14:paraId="4B38CD74" w14:textId="77777777" w:rsidR="00E15A32" w:rsidRPr="00484E8F" w:rsidRDefault="00E15A32" w:rsidP="00E15A32">
            <w:pPr>
              <w:rPr>
                <w:rFonts w:asciiTheme="minorHAnsi" w:hAnsiTheme="minorHAnsi" w:cstheme="minorHAnsi"/>
                <w:sz w:val="18"/>
                <w:szCs w:val="18"/>
              </w:rPr>
            </w:pPr>
            <w:r w:rsidRPr="00484E8F">
              <w:rPr>
                <w:rFonts w:asciiTheme="minorHAnsi" w:hAnsiTheme="minorHAnsi" w:cstheme="minorHAnsi"/>
                <w:sz w:val="18"/>
                <w:szCs w:val="18"/>
              </w:rPr>
              <w:t>Klärung der Begriffe: schwerlösliche Salze und Fällungsreaktion</w:t>
            </w:r>
          </w:p>
        </w:tc>
        <w:tc>
          <w:tcPr>
            <w:tcW w:w="1958" w:type="dxa"/>
            <w:shd w:val="clear" w:color="auto" w:fill="auto"/>
          </w:tcPr>
          <w:p w14:paraId="5D2EBA30" w14:textId="77777777" w:rsidR="00E15A32" w:rsidRPr="00484E8F" w:rsidRDefault="00E15A32" w:rsidP="00E15A32">
            <w:pPr>
              <w:rPr>
                <w:rFonts w:asciiTheme="minorHAnsi" w:hAnsiTheme="minorHAnsi" w:cstheme="minorHAnsi"/>
                <w:sz w:val="18"/>
                <w:szCs w:val="18"/>
              </w:rPr>
            </w:pPr>
            <w:r w:rsidRPr="00484E8F">
              <w:rPr>
                <w:rFonts w:asciiTheme="minorHAnsi" w:hAnsiTheme="minorHAnsi" w:cstheme="minorHAnsi"/>
                <w:sz w:val="18"/>
                <w:szCs w:val="18"/>
              </w:rPr>
              <w:t>eigene Aufzeichnungen der SuS</w:t>
            </w:r>
          </w:p>
        </w:tc>
      </w:tr>
    </w:tbl>
    <w:p w14:paraId="09F0BACA" w14:textId="77777777" w:rsidR="00E15A32" w:rsidRPr="00E15A32" w:rsidRDefault="00E15A32" w:rsidP="00E15A32">
      <w:pPr>
        <w:rPr>
          <w:rFonts w:ascii="Calibri Light" w:hAnsi="Calibri Light"/>
          <w:sz w:val="24"/>
          <w:szCs w:val="24"/>
        </w:rPr>
      </w:pPr>
    </w:p>
    <w:p w14:paraId="29AB778D" w14:textId="77777777" w:rsidR="00E15A32" w:rsidRPr="00E15A32" w:rsidRDefault="00E15A32" w:rsidP="00E15A32">
      <w:pPr>
        <w:rPr>
          <w:rFonts w:ascii="Calibri Light" w:hAnsi="Calibri Light"/>
          <w:sz w:val="24"/>
          <w:szCs w:val="24"/>
        </w:rPr>
      </w:pPr>
    </w:p>
    <w:p w14:paraId="15594133" w14:textId="77777777" w:rsidR="00E15A32" w:rsidRPr="00E15A32" w:rsidRDefault="00E15A32" w:rsidP="00E15A32">
      <w:pPr>
        <w:rPr>
          <w:rFonts w:ascii="Calibri Light" w:hAnsi="Calibri Light"/>
          <w:sz w:val="24"/>
          <w:szCs w:val="24"/>
        </w:rPr>
      </w:pPr>
    </w:p>
    <w:p w14:paraId="1F46E561" w14:textId="77777777" w:rsidR="00E15A32" w:rsidRPr="00E15A32" w:rsidRDefault="00E15A32" w:rsidP="00E15A32">
      <w:pPr>
        <w:rPr>
          <w:rFonts w:ascii="Calibri Light" w:hAnsi="Calibri Light"/>
          <w:sz w:val="24"/>
          <w:szCs w:val="24"/>
        </w:rPr>
      </w:pPr>
    </w:p>
    <w:p w14:paraId="437B6B71" w14:textId="77777777" w:rsidR="00E15A32" w:rsidRPr="00E15A32" w:rsidRDefault="00E15A32" w:rsidP="00E15A32">
      <w:pPr>
        <w:rPr>
          <w:rFonts w:ascii="Calibri Light" w:hAnsi="Calibri Light"/>
          <w:sz w:val="24"/>
          <w:szCs w:val="24"/>
        </w:rPr>
      </w:pPr>
    </w:p>
    <w:p w14:paraId="4DBF3CB5" w14:textId="77777777" w:rsidR="00E15A32" w:rsidRPr="00E15A32" w:rsidRDefault="00E15A32" w:rsidP="00E15A32">
      <w:pPr>
        <w:rPr>
          <w:rFonts w:ascii="Calibri Light" w:hAnsi="Calibri Light"/>
          <w:sz w:val="24"/>
          <w:szCs w:val="24"/>
        </w:rPr>
      </w:pPr>
    </w:p>
    <w:p w14:paraId="6992018A" w14:textId="77777777" w:rsidR="00E15A32" w:rsidRPr="00E15A32" w:rsidRDefault="00E15A32" w:rsidP="00E15A32">
      <w:pPr>
        <w:rPr>
          <w:rFonts w:ascii="Calibri Light" w:hAnsi="Calibri Light"/>
          <w:sz w:val="24"/>
          <w:szCs w:val="24"/>
        </w:rPr>
      </w:pPr>
    </w:p>
    <w:p w14:paraId="608196D5" w14:textId="77777777" w:rsidR="00E15A32" w:rsidRPr="00E15A32" w:rsidRDefault="00E15A32" w:rsidP="00E15A32">
      <w:pPr>
        <w:rPr>
          <w:rFonts w:ascii="Calibri Light" w:hAnsi="Calibri Light"/>
          <w:sz w:val="24"/>
          <w:szCs w:val="24"/>
        </w:rPr>
      </w:pPr>
    </w:p>
    <w:p w14:paraId="7B080D88" w14:textId="77777777" w:rsidR="00E15A32" w:rsidRPr="00E15A32" w:rsidRDefault="00E15A32" w:rsidP="00E15A32">
      <w:pPr>
        <w:rPr>
          <w:rFonts w:ascii="Calibri Light" w:hAnsi="Calibri Light"/>
          <w:sz w:val="24"/>
          <w:szCs w:val="24"/>
        </w:rPr>
      </w:pPr>
    </w:p>
    <w:p w14:paraId="253D0AF6" w14:textId="77777777" w:rsidR="00E15A32" w:rsidRPr="00E15A32" w:rsidRDefault="00E15A32" w:rsidP="00E15A32">
      <w:pPr>
        <w:rPr>
          <w:rFonts w:ascii="Calibri Light" w:hAnsi="Calibri Light"/>
          <w:sz w:val="24"/>
          <w:szCs w:val="24"/>
        </w:rPr>
      </w:pPr>
    </w:p>
    <w:p w14:paraId="1BEB8DFD" w14:textId="77777777" w:rsidR="00E15A32" w:rsidRPr="00E15A32" w:rsidRDefault="00E15A32" w:rsidP="00E15A32">
      <w:pPr>
        <w:rPr>
          <w:rFonts w:ascii="Calibri Light" w:hAnsi="Calibri Light"/>
          <w:sz w:val="24"/>
          <w:szCs w:val="24"/>
        </w:rPr>
      </w:pPr>
    </w:p>
    <w:p w14:paraId="05366CE2" w14:textId="77777777" w:rsidR="00E15A32" w:rsidRPr="00E15A32" w:rsidRDefault="00E15A32" w:rsidP="00E15A32">
      <w:pPr>
        <w:rPr>
          <w:rFonts w:ascii="Calibri Light" w:hAnsi="Calibri Light"/>
          <w:sz w:val="24"/>
          <w:szCs w:val="24"/>
        </w:rPr>
      </w:pPr>
    </w:p>
    <w:p w14:paraId="3E10382E" w14:textId="77777777" w:rsidR="00E15A32" w:rsidRPr="00E15A32" w:rsidRDefault="00E15A32" w:rsidP="00E15A32">
      <w:pPr>
        <w:rPr>
          <w:rFonts w:ascii="Calibri Light" w:hAnsi="Calibri Light"/>
          <w:sz w:val="24"/>
          <w:szCs w:val="24"/>
        </w:rPr>
      </w:pPr>
    </w:p>
    <w:p w14:paraId="5A487FE5" w14:textId="77777777" w:rsidR="00E15A32" w:rsidRPr="00E15A32" w:rsidRDefault="00E15A32" w:rsidP="00E15A32">
      <w:pPr>
        <w:rPr>
          <w:rFonts w:ascii="Calibri Light" w:hAnsi="Calibri Light"/>
          <w:sz w:val="24"/>
          <w:szCs w:val="24"/>
        </w:rPr>
      </w:pPr>
    </w:p>
    <w:p w14:paraId="27D67CD6" w14:textId="77777777" w:rsidR="00E15A32" w:rsidRPr="00E15A32" w:rsidRDefault="00E15A32" w:rsidP="00E15A32">
      <w:pPr>
        <w:rPr>
          <w:rFonts w:ascii="Calibri Light" w:hAnsi="Calibri Light"/>
          <w:sz w:val="24"/>
          <w:szCs w:val="24"/>
        </w:rPr>
      </w:pPr>
    </w:p>
    <w:p w14:paraId="7D6C5A17" w14:textId="77777777" w:rsidR="00E15A32" w:rsidRPr="00E15A32" w:rsidRDefault="00E15A32" w:rsidP="00E15A32">
      <w:pPr>
        <w:rPr>
          <w:rFonts w:ascii="Calibri Light" w:hAnsi="Calibri Light"/>
          <w:sz w:val="24"/>
          <w:szCs w:val="24"/>
        </w:rPr>
      </w:pPr>
    </w:p>
    <w:p w14:paraId="00FF22F1" w14:textId="77777777" w:rsidR="00E15A32" w:rsidRPr="00E15A32" w:rsidRDefault="00E15A32" w:rsidP="00E15A32">
      <w:pPr>
        <w:rPr>
          <w:rFonts w:ascii="Calibri Light" w:hAnsi="Calibri Light"/>
          <w:sz w:val="24"/>
          <w:szCs w:val="24"/>
        </w:rPr>
      </w:pPr>
    </w:p>
    <w:p w14:paraId="3DFC148D" w14:textId="77777777" w:rsidR="00E15A32" w:rsidRPr="00E15A32" w:rsidRDefault="00E15A32" w:rsidP="00E15A32">
      <w:pPr>
        <w:rPr>
          <w:rFonts w:ascii="Calibri Light" w:hAnsi="Calibri Light"/>
          <w:sz w:val="24"/>
          <w:szCs w:val="24"/>
        </w:rPr>
      </w:pPr>
    </w:p>
    <w:p w14:paraId="0C43BEE1" w14:textId="77777777" w:rsidR="00632F0D" w:rsidRPr="00C0047F" w:rsidRDefault="00632F0D" w:rsidP="00C0047F">
      <w:pPr>
        <w:jc w:val="both"/>
        <w:rPr>
          <w:rFonts w:ascii="Calibri Light" w:hAnsi="Calibri Light"/>
          <w:sz w:val="24"/>
          <w:szCs w:val="24"/>
        </w:rPr>
      </w:pPr>
      <w:bookmarkStart w:id="0" w:name="_GoBack"/>
      <w:bookmarkEnd w:id="0"/>
    </w:p>
    <w:sectPr w:rsidR="00632F0D" w:rsidRPr="00C0047F" w:rsidSect="0015570F">
      <w:headerReference w:type="default" r:id="rId8"/>
      <w:footerReference w:type="default" r:id="rId9"/>
      <w:pgSz w:w="11906" w:h="16838"/>
      <w:pgMar w:top="1417" w:right="1417" w:bottom="73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624F" w14:textId="77777777" w:rsidR="00A4042A" w:rsidRDefault="00A4042A" w:rsidP="003A7575">
      <w:pPr>
        <w:spacing w:after="0" w:line="240" w:lineRule="auto"/>
      </w:pPr>
      <w:r>
        <w:separator/>
      </w:r>
    </w:p>
  </w:endnote>
  <w:endnote w:type="continuationSeparator" w:id="0">
    <w:p w14:paraId="213229C5" w14:textId="77777777" w:rsidR="00A4042A" w:rsidRDefault="00A4042A" w:rsidP="003A7575">
      <w:pPr>
        <w:spacing w:after="0" w:line="240" w:lineRule="auto"/>
      </w:pPr>
      <w:r>
        <w:continuationSeparator/>
      </w:r>
    </w:p>
  </w:endnote>
  <w:endnote w:type="continuationNotice" w:id="1">
    <w:p w14:paraId="6E909182" w14:textId="77777777" w:rsidR="00A4042A" w:rsidRDefault="00A40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4D6F" w14:textId="77777777" w:rsidR="00490186" w:rsidRDefault="00490186" w:rsidP="00490186">
    <w:pPr>
      <w:rPr>
        <w:rFonts w:ascii="Calibri Light" w:hAnsi="Calibri Light"/>
        <w:sz w:val="24"/>
        <w:szCs w:val="24"/>
      </w:rPr>
    </w:pPr>
  </w:p>
  <w:p w14:paraId="25BD5219" w14:textId="0B05E31E" w:rsidR="00490186" w:rsidRPr="00023ECD" w:rsidRDefault="00490186" w:rsidP="00490186">
    <w:pPr>
      <w:pStyle w:val="Fuzeile"/>
      <w:jc w:val="right"/>
      <w:rPr>
        <w:sz w:val="18"/>
        <w:szCs w:val="18"/>
      </w:rPr>
    </w:pPr>
    <w:r>
      <w:rPr>
        <w:rFonts w:ascii="Calibri Light" w:hAnsi="Calibri Light"/>
        <w:sz w:val="24"/>
        <w:szCs w:val="24"/>
      </w:rPr>
      <w:tab/>
    </w:r>
    <w:r w:rsidR="00484E8F">
      <w:rPr>
        <w:sz w:val="18"/>
        <w:szCs w:val="18"/>
      </w:rPr>
      <w:t xml:space="preserve">Transparenter Verlauf </w:t>
    </w:r>
    <w:r w:rsidRPr="00023ECD">
      <w:rPr>
        <w:sz w:val="18"/>
        <w:szCs w:val="18"/>
      </w:rPr>
      <w:br/>
      <w:t xml:space="preserve">Dieses Material wurde erstellt von Jan Ruppe und steht unter der Lizenz </w:t>
    </w:r>
    <w:hyperlink r:id="rId1" w:history="1">
      <w:r w:rsidRPr="00023ECD">
        <w:rPr>
          <w:rStyle w:val="Hyperlink"/>
          <w:sz w:val="18"/>
          <w:szCs w:val="18"/>
        </w:rPr>
        <w:t>CC BY-NC-SA 3.0</w:t>
      </w:r>
    </w:hyperlink>
  </w:p>
  <w:p w14:paraId="6B035A74" w14:textId="77777777" w:rsidR="00490186" w:rsidRDefault="00490186" w:rsidP="00490186">
    <w:pPr>
      <w:pStyle w:val="Fuzeile"/>
      <w:jc w:val="right"/>
    </w:pPr>
    <w:r>
      <w:rPr>
        <w:noProof/>
        <w:lang w:eastAsia="zh-CN"/>
      </w:rPr>
      <w:drawing>
        <wp:inline distT="0" distB="0" distL="0" distR="0" wp14:anchorId="7AB1F804" wp14:editId="1884B69A">
          <wp:extent cx="612312" cy="213995"/>
          <wp:effectExtent l="0" t="0" r="0" b="0"/>
          <wp:docPr id="3"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021" cy="219834"/>
                  </a:xfrm>
                  <a:prstGeom prst="rect">
                    <a:avLst/>
                  </a:prstGeom>
                  <a:noFill/>
                  <a:ln>
                    <a:noFill/>
                  </a:ln>
                </pic:spPr>
              </pic:pic>
            </a:graphicData>
          </a:graphic>
        </wp:inline>
      </w:drawing>
    </w:r>
  </w:p>
  <w:p w14:paraId="47CD35A5" w14:textId="77777777" w:rsidR="00490186" w:rsidRDefault="004901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C3817" w14:textId="77777777" w:rsidR="00A4042A" w:rsidRDefault="00A4042A" w:rsidP="003A7575">
      <w:pPr>
        <w:spacing w:after="0" w:line="240" w:lineRule="auto"/>
      </w:pPr>
      <w:r>
        <w:separator/>
      </w:r>
    </w:p>
  </w:footnote>
  <w:footnote w:type="continuationSeparator" w:id="0">
    <w:p w14:paraId="3BC7EE3D" w14:textId="77777777" w:rsidR="00A4042A" w:rsidRDefault="00A4042A" w:rsidP="003A7575">
      <w:pPr>
        <w:spacing w:after="0" w:line="240" w:lineRule="auto"/>
      </w:pPr>
      <w:r>
        <w:continuationSeparator/>
      </w:r>
    </w:p>
  </w:footnote>
  <w:footnote w:type="continuationNotice" w:id="1">
    <w:p w14:paraId="52B5D270" w14:textId="77777777" w:rsidR="00A4042A" w:rsidRDefault="00A404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300C8" w14:textId="77777777" w:rsidR="00592F08" w:rsidRPr="0055325B" w:rsidRDefault="0055325B">
    <w:pPr>
      <w:pStyle w:val="Kopfzeile"/>
      <w:rPr>
        <w:b/>
        <w:sz w:val="24"/>
        <w:szCs w:val="24"/>
      </w:rPr>
    </w:pPr>
    <w:r w:rsidRPr="0055325B">
      <w:rPr>
        <w:b/>
        <w:noProof/>
        <w:sz w:val="24"/>
        <w:szCs w:val="24"/>
        <w:lang w:eastAsia="zh-CN"/>
      </w:rPr>
      <w:t>Transparenter Verlauf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783008"/>
    <w:multiLevelType w:val="hybridMultilevel"/>
    <w:tmpl w:val="B32408A6"/>
    <w:lvl w:ilvl="0" w:tplc="45F65BAE">
      <w:start w:val="19"/>
      <w:numFmt w:val="bullet"/>
      <w:lvlText w:val="-"/>
      <w:lvlJc w:val="left"/>
      <w:pPr>
        <w:ind w:left="720" w:hanging="360"/>
      </w:pPr>
      <w:rPr>
        <w:rFonts w:ascii="Calibri Light" w:eastAsia="Calibr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9"/>
  </w:num>
  <w:num w:numId="6">
    <w:abstractNumId w:val="3"/>
  </w:num>
  <w:num w:numId="7">
    <w:abstractNumId w:val="11"/>
  </w:num>
  <w:num w:numId="8">
    <w:abstractNumId w:val="13"/>
  </w:num>
  <w:num w:numId="9">
    <w:abstractNumId w:val="1"/>
  </w:num>
  <w:num w:numId="10">
    <w:abstractNumId w:val="0"/>
  </w:num>
  <w:num w:numId="11">
    <w:abstractNumId w:val="8"/>
  </w:num>
  <w:num w:numId="12">
    <w:abstractNumId w:val="2"/>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23C0"/>
    <w:rsid w:val="00123079"/>
    <w:rsid w:val="001232F2"/>
    <w:rsid w:val="0012589C"/>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70F"/>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C19"/>
    <w:rsid w:val="00190FED"/>
    <w:rsid w:val="00191BC5"/>
    <w:rsid w:val="00192ADD"/>
    <w:rsid w:val="00192DEE"/>
    <w:rsid w:val="0019360B"/>
    <w:rsid w:val="0019379A"/>
    <w:rsid w:val="001944A0"/>
    <w:rsid w:val="00195091"/>
    <w:rsid w:val="001952C6"/>
    <w:rsid w:val="00195747"/>
    <w:rsid w:val="0019629B"/>
    <w:rsid w:val="001A0BD6"/>
    <w:rsid w:val="001A1038"/>
    <w:rsid w:val="001A25C0"/>
    <w:rsid w:val="001A4FCC"/>
    <w:rsid w:val="001A57EF"/>
    <w:rsid w:val="001A63B6"/>
    <w:rsid w:val="001B3A8B"/>
    <w:rsid w:val="001B418F"/>
    <w:rsid w:val="001B4412"/>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4EF3"/>
    <w:rsid w:val="001F584A"/>
    <w:rsid w:val="001F58E4"/>
    <w:rsid w:val="001F5FC1"/>
    <w:rsid w:val="001F614F"/>
    <w:rsid w:val="001F7F29"/>
    <w:rsid w:val="00201D19"/>
    <w:rsid w:val="002054AF"/>
    <w:rsid w:val="00205C5D"/>
    <w:rsid w:val="00206597"/>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279B0"/>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4762"/>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D8A"/>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0C21"/>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4F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07E94"/>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2CC"/>
    <w:rsid w:val="00336F86"/>
    <w:rsid w:val="00337761"/>
    <w:rsid w:val="00340166"/>
    <w:rsid w:val="00340C3B"/>
    <w:rsid w:val="00341263"/>
    <w:rsid w:val="0034214B"/>
    <w:rsid w:val="0034222E"/>
    <w:rsid w:val="00342DC3"/>
    <w:rsid w:val="00343638"/>
    <w:rsid w:val="00343922"/>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5AA1"/>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C7CF9"/>
    <w:rsid w:val="003D0FFB"/>
    <w:rsid w:val="003D1C1A"/>
    <w:rsid w:val="003D32AA"/>
    <w:rsid w:val="003D3CD9"/>
    <w:rsid w:val="003D538B"/>
    <w:rsid w:val="003D5596"/>
    <w:rsid w:val="003D6CFC"/>
    <w:rsid w:val="003E07D9"/>
    <w:rsid w:val="003E0A49"/>
    <w:rsid w:val="003E142B"/>
    <w:rsid w:val="003E1EA2"/>
    <w:rsid w:val="003E1EB8"/>
    <w:rsid w:val="003E1F34"/>
    <w:rsid w:val="003E287F"/>
    <w:rsid w:val="003E2B49"/>
    <w:rsid w:val="003E4CEB"/>
    <w:rsid w:val="003E56AD"/>
    <w:rsid w:val="003E5C7E"/>
    <w:rsid w:val="003E69DF"/>
    <w:rsid w:val="003E74A5"/>
    <w:rsid w:val="003F09E2"/>
    <w:rsid w:val="003F1845"/>
    <w:rsid w:val="003F2314"/>
    <w:rsid w:val="003F2928"/>
    <w:rsid w:val="003F2DA5"/>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1B9A"/>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020"/>
    <w:rsid w:val="00434114"/>
    <w:rsid w:val="004347F4"/>
    <w:rsid w:val="00435ECA"/>
    <w:rsid w:val="004371EE"/>
    <w:rsid w:val="0043754F"/>
    <w:rsid w:val="00437B75"/>
    <w:rsid w:val="00440B34"/>
    <w:rsid w:val="00440D32"/>
    <w:rsid w:val="004422B4"/>
    <w:rsid w:val="00442A77"/>
    <w:rsid w:val="00443103"/>
    <w:rsid w:val="00443828"/>
    <w:rsid w:val="004444D3"/>
    <w:rsid w:val="0044520C"/>
    <w:rsid w:val="00445332"/>
    <w:rsid w:val="004468FC"/>
    <w:rsid w:val="00447270"/>
    <w:rsid w:val="0044785D"/>
    <w:rsid w:val="004478E8"/>
    <w:rsid w:val="00450390"/>
    <w:rsid w:val="00450515"/>
    <w:rsid w:val="00450532"/>
    <w:rsid w:val="00450B6C"/>
    <w:rsid w:val="0045152B"/>
    <w:rsid w:val="004526C8"/>
    <w:rsid w:val="0045322C"/>
    <w:rsid w:val="00453443"/>
    <w:rsid w:val="00453CFD"/>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4E8F"/>
    <w:rsid w:val="00485E63"/>
    <w:rsid w:val="00487015"/>
    <w:rsid w:val="00487A96"/>
    <w:rsid w:val="00487DDD"/>
    <w:rsid w:val="00490186"/>
    <w:rsid w:val="004910BA"/>
    <w:rsid w:val="004920A2"/>
    <w:rsid w:val="00492890"/>
    <w:rsid w:val="0049311C"/>
    <w:rsid w:val="0049608B"/>
    <w:rsid w:val="004967FF"/>
    <w:rsid w:val="004A1958"/>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273D"/>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268"/>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0928"/>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A17"/>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5150"/>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0CBD"/>
    <w:rsid w:val="006B199A"/>
    <w:rsid w:val="006B2138"/>
    <w:rsid w:val="006B2370"/>
    <w:rsid w:val="006B23F2"/>
    <w:rsid w:val="006B50A9"/>
    <w:rsid w:val="006B6967"/>
    <w:rsid w:val="006C1ED2"/>
    <w:rsid w:val="006C2035"/>
    <w:rsid w:val="006C26E8"/>
    <w:rsid w:val="006C2F84"/>
    <w:rsid w:val="006C4488"/>
    <w:rsid w:val="006C5BB5"/>
    <w:rsid w:val="006C67E1"/>
    <w:rsid w:val="006D2B30"/>
    <w:rsid w:val="006D3B84"/>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02CA"/>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0BC"/>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4D88"/>
    <w:rsid w:val="00774DEB"/>
    <w:rsid w:val="00777ED0"/>
    <w:rsid w:val="00780609"/>
    <w:rsid w:val="00780E3E"/>
    <w:rsid w:val="00782052"/>
    <w:rsid w:val="0078259B"/>
    <w:rsid w:val="00783214"/>
    <w:rsid w:val="00784249"/>
    <w:rsid w:val="00785AFD"/>
    <w:rsid w:val="00785B82"/>
    <w:rsid w:val="00785DB9"/>
    <w:rsid w:val="007871D2"/>
    <w:rsid w:val="0078735B"/>
    <w:rsid w:val="00787583"/>
    <w:rsid w:val="00791657"/>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6179"/>
    <w:rsid w:val="007D6447"/>
    <w:rsid w:val="007D6615"/>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6D3"/>
    <w:rsid w:val="0081340D"/>
    <w:rsid w:val="00814001"/>
    <w:rsid w:val="00814CCE"/>
    <w:rsid w:val="00814E88"/>
    <w:rsid w:val="0081517F"/>
    <w:rsid w:val="00815703"/>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2F8F"/>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62FC"/>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3C8C"/>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3122"/>
    <w:rsid w:val="008B4A54"/>
    <w:rsid w:val="008B4DD3"/>
    <w:rsid w:val="008B5B2B"/>
    <w:rsid w:val="008B6F76"/>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2B5"/>
    <w:rsid w:val="009153C9"/>
    <w:rsid w:val="00917A41"/>
    <w:rsid w:val="00917B76"/>
    <w:rsid w:val="00917E6C"/>
    <w:rsid w:val="0092094F"/>
    <w:rsid w:val="00922424"/>
    <w:rsid w:val="00922AB0"/>
    <w:rsid w:val="00922F17"/>
    <w:rsid w:val="00923A17"/>
    <w:rsid w:val="00923A84"/>
    <w:rsid w:val="00924BB7"/>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134"/>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1D21"/>
    <w:rsid w:val="009A2283"/>
    <w:rsid w:val="009A26F2"/>
    <w:rsid w:val="009A2BF2"/>
    <w:rsid w:val="009A34BB"/>
    <w:rsid w:val="009A5FA9"/>
    <w:rsid w:val="009A6555"/>
    <w:rsid w:val="009A6F05"/>
    <w:rsid w:val="009A721D"/>
    <w:rsid w:val="009B015A"/>
    <w:rsid w:val="009B124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42A"/>
    <w:rsid w:val="00A40816"/>
    <w:rsid w:val="00A413D6"/>
    <w:rsid w:val="00A4173E"/>
    <w:rsid w:val="00A418C1"/>
    <w:rsid w:val="00A41A5C"/>
    <w:rsid w:val="00A4260B"/>
    <w:rsid w:val="00A43392"/>
    <w:rsid w:val="00A44500"/>
    <w:rsid w:val="00A449AF"/>
    <w:rsid w:val="00A4541E"/>
    <w:rsid w:val="00A47032"/>
    <w:rsid w:val="00A47B95"/>
    <w:rsid w:val="00A52F79"/>
    <w:rsid w:val="00A53016"/>
    <w:rsid w:val="00A53896"/>
    <w:rsid w:val="00A53957"/>
    <w:rsid w:val="00A53DCD"/>
    <w:rsid w:val="00A53EE8"/>
    <w:rsid w:val="00A543A4"/>
    <w:rsid w:val="00A56C25"/>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317"/>
    <w:rsid w:val="00A8547F"/>
    <w:rsid w:val="00A86CC2"/>
    <w:rsid w:val="00A874C9"/>
    <w:rsid w:val="00A904A8"/>
    <w:rsid w:val="00A90825"/>
    <w:rsid w:val="00A91A47"/>
    <w:rsid w:val="00A9241C"/>
    <w:rsid w:val="00A9430A"/>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198B"/>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0FA3"/>
    <w:rsid w:val="00B81F71"/>
    <w:rsid w:val="00B83184"/>
    <w:rsid w:val="00B838F5"/>
    <w:rsid w:val="00B839D7"/>
    <w:rsid w:val="00B83ADD"/>
    <w:rsid w:val="00B83B88"/>
    <w:rsid w:val="00B840E0"/>
    <w:rsid w:val="00B85CD5"/>
    <w:rsid w:val="00B86A83"/>
    <w:rsid w:val="00B90796"/>
    <w:rsid w:val="00B90A04"/>
    <w:rsid w:val="00B919EC"/>
    <w:rsid w:val="00B91E38"/>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3B7A"/>
    <w:rsid w:val="00BA687D"/>
    <w:rsid w:val="00BA6CE8"/>
    <w:rsid w:val="00BB071C"/>
    <w:rsid w:val="00BB14CE"/>
    <w:rsid w:val="00BB187E"/>
    <w:rsid w:val="00BB2372"/>
    <w:rsid w:val="00BB237C"/>
    <w:rsid w:val="00BB4109"/>
    <w:rsid w:val="00BB65F6"/>
    <w:rsid w:val="00BC04E3"/>
    <w:rsid w:val="00BC0F5D"/>
    <w:rsid w:val="00BC304C"/>
    <w:rsid w:val="00BC3100"/>
    <w:rsid w:val="00BC572F"/>
    <w:rsid w:val="00BC6443"/>
    <w:rsid w:val="00BC6E83"/>
    <w:rsid w:val="00BC77F7"/>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E7EDA"/>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C7E"/>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14A"/>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34F"/>
    <w:rsid w:val="00D706C8"/>
    <w:rsid w:val="00D70F37"/>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2222"/>
    <w:rsid w:val="00DC34B8"/>
    <w:rsid w:val="00DC5C84"/>
    <w:rsid w:val="00DC609A"/>
    <w:rsid w:val="00DC69A4"/>
    <w:rsid w:val="00DC7FA7"/>
    <w:rsid w:val="00DD076F"/>
    <w:rsid w:val="00DD0F3D"/>
    <w:rsid w:val="00DD1D73"/>
    <w:rsid w:val="00DD3062"/>
    <w:rsid w:val="00DD3EEB"/>
    <w:rsid w:val="00DD4103"/>
    <w:rsid w:val="00DD4BBD"/>
    <w:rsid w:val="00DD6092"/>
    <w:rsid w:val="00DD6492"/>
    <w:rsid w:val="00DD6639"/>
    <w:rsid w:val="00DD690A"/>
    <w:rsid w:val="00DD7B59"/>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15E4"/>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A32"/>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3576"/>
    <w:rsid w:val="00E54202"/>
    <w:rsid w:val="00E54705"/>
    <w:rsid w:val="00E55568"/>
    <w:rsid w:val="00E5593F"/>
    <w:rsid w:val="00E5662F"/>
    <w:rsid w:val="00E56E08"/>
    <w:rsid w:val="00E5705C"/>
    <w:rsid w:val="00E63699"/>
    <w:rsid w:val="00E63830"/>
    <w:rsid w:val="00E645CA"/>
    <w:rsid w:val="00E64949"/>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5AF"/>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569"/>
    <w:rsid w:val="00F61A92"/>
    <w:rsid w:val="00F63F73"/>
    <w:rsid w:val="00F64669"/>
    <w:rsid w:val="00F64C22"/>
    <w:rsid w:val="00F650CC"/>
    <w:rsid w:val="00F65DCC"/>
    <w:rsid w:val="00F67423"/>
    <w:rsid w:val="00F67768"/>
    <w:rsid w:val="00F70590"/>
    <w:rsid w:val="00F72525"/>
    <w:rsid w:val="00F72D44"/>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4E7"/>
    <w:rsid w:val="00FD37AB"/>
    <w:rsid w:val="00FD427A"/>
    <w:rsid w:val="00FD5207"/>
    <w:rsid w:val="00FD64A9"/>
    <w:rsid w:val="00FD66F4"/>
    <w:rsid w:val="00FE0023"/>
    <w:rsid w:val="00FE0593"/>
    <w:rsid w:val="00FE2574"/>
    <w:rsid w:val="00FE2787"/>
    <w:rsid w:val="00FE2A54"/>
    <w:rsid w:val="00FE2DE1"/>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 w:val="7A882C29"/>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A7059"/>
  <w15:docId w15:val="{3735DA86-B5D7-CB4B-AD0C-FF40BFB6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paragraph" w:styleId="berschrift3">
    <w:name w:val="heading 3"/>
    <w:basedOn w:val="Standard"/>
    <w:link w:val="berschrift3Zchn"/>
    <w:uiPriority w:val="9"/>
    <w:qFormat/>
    <w:rsid w:val="00DD3EEB"/>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 w:type="paragraph" w:customStyle="1" w:styleId="Tabelleninhalt">
    <w:name w:val="Tabelleninhalt"/>
    <w:basedOn w:val="Standard"/>
    <w:qFormat/>
    <w:rsid w:val="00280C21"/>
    <w:pPr>
      <w:suppressLineNumbers/>
      <w:spacing w:after="0" w:line="240" w:lineRule="auto"/>
    </w:pPr>
    <w:rPr>
      <w:rFonts w:ascii="Liberation Serif" w:eastAsia="SimSun" w:hAnsi="Liberation Serif" w:cs="Lucida Sans"/>
      <w:kern w:val="2"/>
      <w:sz w:val="24"/>
      <w:szCs w:val="24"/>
      <w:lang w:eastAsia="zh-CN" w:bidi="hi-IN"/>
    </w:rPr>
  </w:style>
  <w:style w:type="character" w:customStyle="1" w:styleId="berschrift3Zchn">
    <w:name w:val="Überschrift 3 Zchn"/>
    <w:basedOn w:val="Absatz-Standardschriftart"/>
    <w:link w:val="berschrift3"/>
    <w:uiPriority w:val="9"/>
    <w:rsid w:val="00DD3EEB"/>
    <w:rPr>
      <w:rFonts w:ascii="Times New Roman" w:eastAsia="Times New Roman" w:hAnsi="Times New Roman"/>
      <w:b/>
      <w:bCs/>
      <w:sz w:val="27"/>
      <w:szCs w:val="27"/>
    </w:rPr>
  </w:style>
  <w:style w:type="character" w:styleId="Platzhaltertext">
    <w:name w:val="Placeholder Text"/>
    <w:basedOn w:val="Absatz-Standardschriftart"/>
    <w:uiPriority w:val="99"/>
    <w:semiHidden/>
    <w:rsid w:val="006B0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4501">
      <w:bodyDiv w:val="1"/>
      <w:marLeft w:val="0"/>
      <w:marRight w:val="0"/>
      <w:marTop w:val="0"/>
      <w:marBottom w:val="0"/>
      <w:divBdr>
        <w:top w:val="none" w:sz="0" w:space="0" w:color="auto"/>
        <w:left w:val="none" w:sz="0" w:space="0" w:color="auto"/>
        <w:bottom w:val="none" w:sz="0" w:space="0" w:color="auto"/>
        <w:right w:val="none" w:sz="0" w:space="0" w:color="auto"/>
      </w:divBdr>
    </w:div>
    <w:div w:id="1528637470">
      <w:bodyDiv w:val="1"/>
      <w:marLeft w:val="0"/>
      <w:marRight w:val="0"/>
      <w:marTop w:val="0"/>
      <w:marBottom w:val="0"/>
      <w:divBdr>
        <w:top w:val="none" w:sz="0" w:space="0" w:color="auto"/>
        <w:left w:val="none" w:sz="0" w:space="0" w:color="auto"/>
        <w:bottom w:val="none" w:sz="0" w:space="0" w:color="auto"/>
        <w:right w:val="none" w:sz="0" w:space="0" w:color="auto"/>
      </w:divBdr>
    </w:div>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666D-C57B-4E85-B992-F5F61D20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2506</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Puderbach, Thorsten</cp:lastModifiedBy>
  <cp:revision>7</cp:revision>
  <cp:lastPrinted>2018-06-05T08:23:00Z</cp:lastPrinted>
  <dcterms:created xsi:type="dcterms:W3CDTF">2019-04-02T05:48:00Z</dcterms:created>
  <dcterms:modified xsi:type="dcterms:W3CDTF">2019-04-17T11:52:00Z</dcterms:modified>
</cp:coreProperties>
</file>