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51" w:rsidRDefault="00425707">
      <w:pPr>
        <w:pStyle w:val="Medienbausteine"/>
        <w:spacing w:before="0"/>
      </w:pPr>
      <w:r>
        <w:t>Verlaufsplanung</w:t>
      </w:r>
    </w:p>
    <w:p w:rsidR="00897F51" w:rsidRDefault="00425707">
      <w:pPr>
        <w:pStyle w:val="Medienbausteine1"/>
        <w:rPr>
          <w:rFonts w:hint="eastAsia"/>
          <w:sz w:val="20"/>
          <w:szCs w:val="20"/>
        </w:rPr>
      </w:pPr>
      <w:r>
        <w:rPr>
          <w:sz w:val="20"/>
          <w:szCs w:val="20"/>
        </w:rPr>
        <w:t>Die Unterrichtseinheit kann in einer Einzelstunde (45min) unterrichtet werden, mit weiterführenden Aufgaben lässt sich auch eine Doppelstunde gut füllen.</w:t>
      </w:r>
    </w:p>
    <w:p w:rsidR="00897F51" w:rsidRDefault="00425707">
      <w:pPr>
        <w:pStyle w:val="Medienbausteine1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Empfehlungen zum Einsatz:</w:t>
      </w:r>
    </w:p>
    <w:p w:rsidR="00897F51" w:rsidRDefault="00425707">
      <w:pPr>
        <w:pStyle w:val="Medienbausteine1"/>
        <w:rPr>
          <w:rFonts w:hint="eastAsia"/>
        </w:rPr>
      </w:pPr>
      <w:r>
        <w:rPr>
          <w:sz w:val="20"/>
          <w:szCs w:val="20"/>
        </w:rPr>
        <w:t>Die Schüler sollten die mechanischen Energieformen (</w:t>
      </w:r>
      <w:proofErr w:type="spellStart"/>
      <w:r>
        <w:rPr>
          <w:sz w:val="20"/>
          <w:szCs w:val="20"/>
        </w:rPr>
        <w:t>kin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Energie und Höhenenergie/ potenzielle Energie) sowie das Prinzip der Energiewandlung kennen. </w:t>
      </w:r>
    </w:p>
    <w:p w:rsidR="00897F51" w:rsidRDefault="00425707">
      <w:pPr>
        <w:pStyle w:val="Medienbausteine1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Alternativ kann das Material auch mit leichten Modifikationen als Einstieg in das Prinzip der Energieerhaltung und die mechanischen Energieformen genutzt werden. </w:t>
      </w:r>
      <w:r>
        <w:rPr>
          <w:sz w:val="20"/>
          <w:szCs w:val="20"/>
        </w:rPr>
        <w:t>Auch kann die Simulation als Station einer Stationenarbeit genutzt werden.</w:t>
      </w:r>
    </w:p>
    <w:p w:rsidR="00897F51" w:rsidRDefault="00897F51">
      <w:pPr>
        <w:pStyle w:val="Medienbausteine1"/>
        <w:rPr>
          <w:rFonts w:hint="eastAsia"/>
          <w:sz w:val="12"/>
          <w:szCs w:val="12"/>
        </w:rPr>
      </w:pP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5"/>
        <w:gridCol w:w="6634"/>
        <w:gridCol w:w="1706"/>
      </w:tblGrid>
      <w:tr w:rsidR="00897F51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  <w:vAlign w:val="center"/>
          </w:tcPr>
          <w:p w:rsidR="00897F51" w:rsidRDefault="00425707">
            <w:pPr>
              <w:pStyle w:val="Medienbausteine1"/>
              <w:spacing w:line="240" w:lineRule="auto"/>
              <w:jc w:val="center"/>
              <w:rPr>
                <w:rFonts w:hint="eastAsia"/>
              </w:rPr>
            </w:pPr>
            <w:r>
              <w:rPr>
                <w:b/>
                <w:bCs/>
                <w:szCs w:val="22"/>
              </w:rPr>
              <w:t>Zeit</w:t>
            </w:r>
          </w:p>
          <w:p w:rsidR="00897F51" w:rsidRDefault="00425707">
            <w:pPr>
              <w:pStyle w:val="Medienbausteine1"/>
              <w:spacing w:line="240" w:lineRule="auto"/>
              <w:jc w:val="center"/>
              <w:rPr>
                <w:rFonts w:hint="eastAsia"/>
              </w:rPr>
            </w:pPr>
            <w:r>
              <w:rPr>
                <w:b/>
                <w:bCs/>
                <w:szCs w:val="22"/>
              </w:rPr>
              <w:t>Methode</w:t>
            </w:r>
          </w:p>
        </w:tc>
        <w:tc>
          <w:tcPr>
            <w:tcW w:w="6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  <w:vAlign w:val="center"/>
          </w:tcPr>
          <w:p w:rsidR="00897F51" w:rsidRDefault="00425707">
            <w:pPr>
              <w:pStyle w:val="Medienbausteine1"/>
              <w:spacing w:line="240" w:lineRule="auto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Cs w:val="22"/>
              </w:rPr>
              <w:t>Beschreibung</w:t>
            </w:r>
          </w:p>
        </w:tc>
        <w:tc>
          <w:tcPr>
            <w:tcW w:w="1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  <w:vAlign w:val="center"/>
          </w:tcPr>
          <w:p w:rsidR="00897F51" w:rsidRDefault="00425707">
            <w:pPr>
              <w:pStyle w:val="Medienbausteine1"/>
              <w:spacing w:line="240" w:lineRule="auto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Cs w:val="22"/>
              </w:rPr>
              <w:t>Material</w:t>
            </w:r>
          </w:p>
        </w:tc>
      </w:tr>
      <w:tr w:rsidR="00897F51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Vorbereitung</w:t>
            </w:r>
          </w:p>
        </w:tc>
        <w:tc>
          <w:tcPr>
            <w:tcW w:w="6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L kopiert das Arbeitsblatt</w:t>
            </w:r>
          </w:p>
        </w:tc>
        <w:tc>
          <w:tcPr>
            <w:tcW w:w="1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897F51">
            <w:pPr>
              <w:pStyle w:val="Medienbausteine1"/>
              <w:rPr>
                <w:rFonts w:hint="eastAsia"/>
                <w:sz w:val="20"/>
                <w:szCs w:val="20"/>
              </w:rPr>
            </w:pP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Arbeitsblatt</w:t>
            </w:r>
          </w:p>
        </w:tc>
      </w:tr>
      <w:tr w:rsidR="00897F51"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Unterrichtsablauf</w:t>
            </w:r>
          </w:p>
        </w:tc>
      </w:tr>
      <w:tr w:rsidR="00897F51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P</w:t>
            </w: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5‘</w:t>
            </w:r>
          </w:p>
        </w:tc>
        <w:tc>
          <w:tcPr>
            <w:tcW w:w="6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i/>
                <w:iCs/>
                <w:sz w:val="20"/>
                <w:szCs w:val="20"/>
              </w:rPr>
              <w:t>Einstieg</w:t>
            </w:r>
            <w:r>
              <w:rPr>
                <w:sz w:val="20"/>
                <w:szCs w:val="20"/>
              </w:rPr>
              <w:t xml:space="preserve">: </w:t>
            </w: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L zeigt </w:t>
            </w:r>
            <w:r>
              <w:rPr>
                <w:sz w:val="20"/>
                <w:szCs w:val="20"/>
              </w:rPr>
              <w:t xml:space="preserve">das Einstiegsbild einer Halfpipe mit Skater. SuS bilden Hypothesen zu folgenden Fragen, die an der Tafel festgehalten werden und zum Schluss überprüft werden: </w:t>
            </w:r>
          </w:p>
          <w:p w:rsidR="00897F51" w:rsidRDefault="00425707">
            <w:pPr>
              <w:pStyle w:val="Medienbausteine1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sz w:val="20"/>
                <w:szCs w:val="20"/>
              </w:rPr>
              <w:t>Wo ist der Skater am schnellsten?</w:t>
            </w:r>
          </w:p>
          <w:p w:rsidR="00897F51" w:rsidRDefault="00425707">
            <w:pPr>
              <w:pStyle w:val="Medienbausteine1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sz w:val="20"/>
                <w:szCs w:val="20"/>
              </w:rPr>
              <w:t>Wie hoch kommt der Skater auf der rechten Seite (wenn er nur h</w:t>
            </w:r>
            <w:r>
              <w:rPr>
                <w:sz w:val="20"/>
                <w:szCs w:val="20"/>
              </w:rPr>
              <w:t>erunterrollt/ ohne Schwung zu nehmen)?</w:t>
            </w:r>
          </w:p>
          <w:p w:rsidR="00897F51" w:rsidRDefault="00425707">
            <w:pPr>
              <w:pStyle w:val="Medienbausteine1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sz w:val="20"/>
                <w:szCs w:val="20"/>
              </w:rPr>
              <w:t>Wie lange kann er hin- und herfahren?</w:t>
            </w:r>
          </w:p>
          <w:p w:rsidR="00897F51" w:rsidRDefault="00425707">
            <w:pPr>
              <w:pStyle w:val="Medienbausteine1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sz w:val="20"/>
                <w:szCs w:val="20"/>
              </w:rPr>
              <w:t>Welche Energieformen spielen eine Rolle?</w:t>
            </w: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L teilt Teams ein, klärt Stundenablauf und verteilt Arbeitsblätter</w:t>
            </w:r>
          </w:p>
        </w:tc>
        <w:tc>
          <w:tcPr>
            <w:tcW w:w="1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Einstiegsbild</w:t>
            </w:r>
          </w:p>
          <w:p w:rsidR="00897F51" w:rsidRDefault="00897F51">
            <w:pPr>
              <w:pStyle w:val="Medienbausteine1"/>
              <w:rPr>
                <w:rFonts w:hint="eastAsia"/>
                <w:sz w:val="20"/>
                <w:szCs w:val="20"/>
              </w:rPr>
            </w:pPr>
          </w:p>
          <w:p w:rsidR="00897F51" w:rsidRDefault="00897F51">
            <w:pPr>
              <w:pStyle w:val="Medienbausteine1"/>
              <w:rPr>
                <w:rFonts w:hint="eastAsia"/>
                <w:sz w:val="20"/>
                <w:szCs w:val="20"/>
              </w:rPr>
            </w:pPr>
          </w:p>
          <w:p w:rsidR="00897F51" w:rsidRDefault="00897F51">
            <w:pPr>
              <w:pStyle w:val="Medienbausteine1"/>
              <w:rPr>
                <w:rFonts w:hint="eastAsia"/>
                <w:sz w:val="20"/>
                <w:szCs w:val="20"/>
              </w:rPr>
            </w:pPr>
          </w:p>
          <w:p w:rsidR="00897F51" w:rsidRDefault="00897F51">
            <w:pPr>
              <w:pStyle w:val="Medienbausteine1"/>
              <w:rPr>
                <w:rFonts w:hint="eastAsia"/>
                <w:sz w:val="20"/>
                <w:szCs w:val="20"/>
              </w:rPr>
            </w:pPr>
          </w:p>
          <w:p w:rsidR="00897F51" w:rsidRDefault="00897F51">
            <w:pPr>
              <w:pStyle w:val="Medienbausteine1"/>
              <w:rPr>
                <w:rFonts w:hint="eastAsia"/>
                <w:sz w:val="20"/>
                <w:szCs w:val="20"/>
              </w:rPr>
            </w:pPr>
          </w:p>
          <w:p w:rsidR="00897F51" w:rsidRDefault="00897F51">
            <w:pPr>
              <w:pStyle w:val="Medienbausteine1"/>
              <w:rPr>
                <w:rFonts w:hint="eastAsia"/>
                <w:sz w:val="20"/>
                <w:szCs w:val="20"/>
              </w:rPr>
            </w:pPr>
          </w:p>
          <w:p w:rsidR="00897F51" w:rsidRDefault="00897F51">
            <w:pPr>
              <w:pStyle w:val="Medienbausteine1"/>
              <w:rPr>
                <w:rFonts w:hint="eastAsia"/>
                <w:sz w:val="20"/>
                <w:szCs w:val="20"/>
              </w:rPr>
            </w:pP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Arbeitsblatt</w:t>
            </w:r>
          </w:p>
        </w:tc>
      </w:tr>
      <w:tr w:rsidR="00897F51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25‘ </w:t>
            </w: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Partnerarbeit (PA)</w:t>
            </w:r>
          </w:p>
        </w:tc>
        <w:tc>
          <w:tcPr>
            <w:tcW w:w="6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S bearbeiten</w:t>
            </w:r>
            <w:r>
              <w:rPr>
                <w:sz w:val="20"/>
                <w:szCs w:val="20"/>
              </w:rPr>
              <w:t xml:space="preserve"> Arbeitsblatt</w:t>
            </w: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L hilft bei technischen Problemen aus und gibt Hilfestellung zu inhaltlichen Fragen. Es muss </w:t>
            </w:r>
            <w:bookmarkStart w:id="0" w:name="_GoBack"/>
            <w:bookmarkEnd w:id="0"/>
            <w:r>
              <w:rPr>
                <w:sz w:val="20"/>
                <w:szCs w:val="20"/>
              </w:rPr>
              <w:t>etwas darauf geachtet werden, dass SuS nach ein paar Minuten auch wirklich mit den Aufgaben anfangen.</w:t>
            </w: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Hilfestellung: Der Zusammenhang Reibung</w:t>
            </w:r>
            <w:r w:rsidR="005321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</w:t>
            </w:r>
            <w:r w:rsidR="005321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thermis</w:t>
            </w:r>
            <w:r>
              <w:rPr>
                <w:sz w:val="20"/>
                <w:szCs w:val="20"/>
              </w:rPr>
              <w:t>che Energie ist durch schnelles Reiben der Hände erfahrbar.</w:t>
            </w:r>
          </w:p>
        </w:tc>
        <w:tc>
          <w:tcPr>
            <w:tcW w:w="1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18"/>
                <w:szCs w:val="18"/>
              </w:rPr>
              <w:t>Laptops/ PCs/ Tablets/ Smartphone (1:2)</w:t>
            </w:r>
          </w:p>
          <w:p w:rsidR="00897F51" w:rsidRDefault="00897F51">
            <w:pPr>
              <w:pStyle w:val="Medienbausteine1"/>
              <w:rPr>
                <w:rFonts w:hint="eastAsia"/>
                <w:sz w:val="18"/>
                <w:szCs w:val="18"/>
              </w:rPr>
            </w:pP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Arbeitsblatt</w:t>
            </w:r>
          </w:p>
        </w:tc>
      </w:tr>
      <w:tr w:rsidR="00897F51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lastRenderedPageBreak/>
              <w:t>10‘ P</w:t>
            </w:r>
          </w:p>
        </w:tc>
        <w:tc>
          <w:tcPr>
            <w:tcW w:w="84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i/>
                <w:iCs/>
                <w:sz w:val="20"/>
                <w:szCs w:val="20"/>
              </w:rPr>
              <w:t xml:space="preserve">Sicherung: </w:t>
            </w:r>
            <w:r>
              <w:rPr>
                <w:sz w:val="20"/>
                <w:szCs w:val="20"/>
              </w:rPr>
              <w:t>Vergleich und Diskussion der Ergebnisse</w:t>
            </w: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Mögliche vertiefende Fragen</w:t>
            </w: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(AFB I): Wenn der Skater aus einer Höhe von 10m links </w:t>
            </w:r>
            <w:r>
              <w:rPr>
                <w:sz w:val="20"/>
                <w:szCs w:val="20"/>
              </w:rPr>
              <w:t>losfährt, wie hoch kommt er dann auf der rechten Seite (mit und ohne Reibung)?</w:t>
            </w: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(AFB II/ III): Diskussion zu Abgleich mit Realität; Was machen Skater um Sprünge durchzuführen? Woher kommt die zusätzliche potenzielle Energie? Wie kann ich die Gesamtenergie v</w:t>
            </w:r>
            <w:r>
              <w:rPr>
                <w:sz w:val="20"/>
                <w:szCs w:val="20"/>
              </w:rPr>
              <w:t xml:space="preserve">ergrößern/verkleinern? </w:t>
            </w:r>
            <w:r>
              <w:rPr>
                <w:i/>
                <w:iCs/>
                <w:sz w:val="20"/>
                <w:szCs w:val="20"/>
              </w:rPr>
              <w:t xml:space="preserve">(Antwort: Masse, Anfangshöhe). </w:t>
            </w:r>
            <w:r>
              <w:rPr>
                <w:sz w:val="20"/>
                <w:szCs w:val="20"/>
              </w:rPr>
              <w:t>Nach Frage 7: Wie kann die Reibung verringert werden (Antwort: Materialien Reifen/ Pipe, Verbesserung Kugellager)</w:t>
            </w:r>
          </w:p>
        </w:tc>
      </w:tr>
      <w:tr w:rsidR="00897F51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t>5‘</w:t>
            </w:r>
          </w:p>
        </w:tc>
        <w:tc>
          <w:tcPr>
            <w:tcW w:w="6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i/>
                <w:iCs/>
                <w:sz w:val="20"/>
                <w:szCs w:val="20"/>
              </w:rPr>
              <w:t>Abschluss: Reflexion</w:t>
            </w: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S berichten was sie heute gelernt haben (was war das wichtigste</w:t>
            </w:r>
            <w:r>
              <w:rPr>
                <w:sz w:val="20"/>
                <w:szCs w:val="20"/>
              </w:rPr>
              <w:t>?)</w:t>
            </w:r>
          </w:p>
        </w:tc>
        <w:tc>
          <w:tcPr>
            <w:tcW w:w="1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897F51">
            <w:pPr>
              <w:pStyle w:val="Medienbausteine1"/>
              <w:rPr>
                <w:rFonts w:hint="eastAsia"/>
                <w:sz w:val="20"/>
                <w:szCs w:val="20"/>
              </w:rPr>
            </w:pPr>
          </w:p>
        </w:tc>
      </w:tr>
      <w:tr w:rsidR="00897F51"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jc w:val="center"/>
              <w:rPr>
                <w:rFonts w:hint="eastAsia"/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Mögliche Weiterarbeit</w:t>
            </w:r>
          </w:p>
        </w:tc>
      </w:tr>
      <w:tr w:rsidR="00897F51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897F51">
            <w:pPr>
              <w:pStyle w:val="Medienbausteine1"/>
              <w:rPr>
                <w:rFonts w:hint="eastAsia"/>
                <w:i/>
                <w:iCs/>
                <w:sz w:val="20"/>
                <w:szCs w:val="20"/>
              </w:rPr>
            </w:pPr>
          </w:p>
        </w:tc>
        <w:tc>
          <w:tcPr>
            <w:tcW w:w="84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rPr>
                <w:sz w:val="20"/>
                <w:szCs w:val="20"/>
              </w:rPr>
              <w:t>Als nächste Themen bieten sich an:</w:t>
            </w:r>
          </w:p>
          <w:p w:rsidR="00897F51" w:rsidRDefault="00425707">
            <w:pPr>
              <w:pStyle w:val="Medienbausteine1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Übertragung des Konzepts auf ein Pendel, entweder als Realversuch oder mit Video, z.B. </w:t>
            </w:r>
            <w:hyperlink r:id="rId7">
              <w:r>
                <w:rPr>
                  <w:rStyle w:val="Internetverknpfung"/>
                  <w:sz w:val="20"/>
                  <w:szCs w:val="20"/>
                </w:rPr>
                <w:t>https://www.youtube.com/watch?v=TUIcxx1Zhvw</w:t>
              </w:r>
            </w:hyperlink>
            <w:r>
              <w:rPr>
                <w:sz w:val="20"/>
                <w:szCs w:val="20"/>
              </w:rPr>
              <w:t xml:space="preserve"> oder (englischsprachig) </w:t>
            </w:r>
            <w:hyperlink r:id="rId8">
              <w:r>
                <w:rPr>
                  <w:rStyle w:val="Internetverknpfung"/>
                  <w:sz w:val="20"/>
                  <w:szCs w:val="20"/>
                </w:rPr>
                <w:t>https://www.youtube.com/watch?v=xXXF2C-vrQE</w:t>
              </w:r>
            </w:hyperlink>
          </w:p>
          <w:p w:rsidR="00897F51" w:rsidRDefault="00425707">
            <w:pPr>
              <w:pStyle w:val="Medienbausteine1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Formeln für kinetische und potentielle Energie können aus den </w:t>
            </w:r>
            <w:proofErr w:type="spellStart"/>
            <w:r>
              <w:rPr>
                <w:sz w:val="20"/>
                <w:szCs w:val="20"/>
              </w:rPr>
              <w:t>Proportionalitäten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erklärt werden; anschließend Berechnungen zu </w:t>
            </w:r>
            <w:proofErr w:type="spellStart"/>
            <w:r>
              <w:rPr>
                <w:sz w:val="20"/>
                <w:szCs w:val="20"/>
              </w:rPr>
              <w:t>kin</w:t>
            </w:r>
            <w:proofErr w:type="spellEnd"/>
            <w:r>
              <w:rPr>
                <w:sz w:val="20"/>
                <w:szCs w:val="20"/>
              </w:rPr>
              <w:t xml:space="preserve">. und </w:t>
            </w:r>
            <w:proofErr w:type="spellStart"/>
            <w:r>
              <w:rPr>
                <w:sz w:val="20"/>
                <w:szCs w:val="20"/>
              </w:rPr>
              <w:t>pot</w:t>
            </w:r>
            <w:proofErr w:type="spellEnd"/>
            <w:r>
              <w:rPr>
                <w:sz w:val="20"/>
                <w:szCs w:val="20"/>
              </w:rPr>
              <w:t>. Energie</w:t>
            </w:r>
          </w:p>
          <w:p w:rsidR="00897F51" w:rsidRDefault="00425707">
            <w:pPr>
              <w:pStyle w:val="Medienbausteine1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sz w:val="20"/>
                <w:szCs w:val="20"/>
              </w:rPr>
              <w:t>Entwertung, qualitative Umwandlung bei anderen Beispielen, …</w:t>
            </w:r>
          </w:p>
        </w:tc>
      </w:tr>
      <w:tr w:rsidR="00897F51">
        <w:tc>
          <w:tcPr>
            <w:tcW w:w="9645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425707">
            <w:pPr>
              <w:pStyle w:val="Medienbausteine1"/>
              <w:jc w:val="center"/>
              <w:rPr>
                <w:rFonts w:hint="eastAsia"/>
                <w:i/>
                <w:iCs/>
              </w:rPr>
            </w:pPr>
            <w:r>
              <w:rPr>
                <w:b/>
                <w:bCs/>
                <w:i/>
                <w:iCs/>
              </w:rPr>
              <w:t>Hinweise/ Kritik zum Applet</w:t>
            </w:r>
          </w:p>
        </w:tc>
      </w:tr>
      <w:tr w:rsidR="00897F51">
        <w:tc>
          <w:tcPr>
            <w:tcW w:w="9645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897F51" w:rsidRDefault="00897F51">
            <w:pPr>
              <w:pStyle w:val="Medienbausteine1"/>
              <w:rPr>
                <w:rFonts w:hint="eastAsia"/>
                <w:i/>
                <w:iCs/>
                <w:sz w:val="20"/>
                <w:szCs w:val="20"/>
              </w:rPr>
            </w:pP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t>Vernachlässigungen/ Vereinfachungen</w:t>
            </w:r>
          </w:p>
          <w:p w:rsidR="00897F51" w:rsidRDefault="00425707">
            <w:pPr>
              <w:pStyle w:val="Medienbausteine1"/>
              <w:numPr>
                <w:ilvl w:val="0"/>
                <w:numId w:val="3"/>
              </w:numPr>
              <w:rPr>
                <w:rFonts w:hint="eastAsia"/>
              </w:rPr>
            </w:pPr>
            <w:r>
              <w:t xml:space="preserve">Skater wird als </w:t>
            </w:r>
            <w:r>
              <w:rPr>
                <w:i/>
                <w:iCs/>
              </w:rPr>
              <w:t xml:space="preserve">starrer Körper </w:t>
            </w:r>
            <w:r>
              <w:t>und</w:t>
            </w:r>
            <w:r>
              <w:rPr>
                <w:i/>
                <w:iCs/>
              </w:rPr>
              <w:t xml:space="preserve"> Massenpunkt </w:t>
            </w:r>
            <w:r>
              <w:t>simuliert,</w:t>
            </w:r>
          </w:p>
          <w:p w:rsidR="00897F51" w:rsidRDefault="00425707">
            <w:pPr>
              <w:pStyle w:val="Medienbausteine1"/>
              <w:numPr>
                <w:ilvl w:val="0"/>
                <w:numId w:val="3"/>
              </w:numPr>
              <w:rPr>
                <w:rFonts w:hint="eastAsia"/>
              </w:rPr>
            </w:pPr>
            <w:r>
              <w:t>Sämtliche Bewegungen des Skaters (Schwung holen, in die Knie gehen, …) werden vernachlässigt;</w:t>
            </w:r>
          </w:p>
          <w:p w:rsidR="00897F51" w:rsidRDefault="00425707">
            <w:pPr>
              <w:pStyle w:val="Medienbausteine1"/>
              <w:numPr>
                <w:ilvl w:val="0"/>
                <w:numId w:val="3"/>
              </w:numPr>
              <w:rPr>
                <w:rFonts w:hint="eastAsia"/>
              </w:rPr>
            </w:pPr>
            <w:r>
              <w:t>Wird die Masse des Skaters erhöht, dann hat dies keine Auswirkung auf die Reibung in der Simulation;</w:t>
            </w:r>
          </w:p>
          <w:p w:rsidR="00897F51" w:rsidRDefault="00425707">
            <w:pPr>
              <w:pStyle w:val="Medienbausteine1"/>
              <w:numPr>
                <w:ilvl w:val="0"/>
                <w:numId w:val="3"/>
              </w:numPr>
              <w:rPr>
                <w:rFonts w:hint="eastAsia"/>
              </w:rPr>
            </w:pPr>
            <w:r>
              <w:t>Die Parabelform der Halfpipe entspricht nicht typischen Halfp</w:t>
            </w:r>
            <w:r>
              <w:t>ipes (zwischen linker und rechter Rampe ist eigentlich ein flaches Stück).</w:t>
            </w:r>
          </w:p>
          <w:p w:rsidR="00897F51" w:rsidRDefault="00897F51">
            <w:pPr>
              <w:pStyle w:val="Medienbausteine1"/>
              <w:rPr>
                <w:rFonts w:hint="eastAsia"/>
              </w:rPr>
            </w:pPr>
          </w:p>
          <w:p w:rsidR="00897F51" w:rsidRDefault="00425707">
            <w:pPr>
              <w:pStyle w:val="Medienbausteine1"/>
              <w:rPr>
                <w:rFonts w:hint="eastAsia"/>
              </w:rPr>
            </w:pPr>
            <w:r>
              <w:lastRenderedPageBreak/>
              <w:t>Hinweise zum Arbeitsblatt</w:t>
            </w:r>
          </w:p>
          <w:p w:rsidR="00897F51" w:rsidRDefault="00425707">
            <w:pPr>
              <w:pStyle w:val="Medienbausteine1"/>
              <w:numPr>
                <w:ilvl w:val="0"/>
                <w:numId w:val="4"/>
              </w:numPr>
              <w:rPr>
                <w:rFonts w:hint="eastAsia"/>
              </w:rPr>
            </w:pPr>
            <w:r>
              <w:t>Frage 5: Es wurde eine enge Führung gewählt um zu vermeiden, dass SuS fehlerhafte Zusammenhänge aufschreiben, wie z.B. „je größer die Höhe desto kleiner d</w:t>
            </w:r>
            <w:r>
              <w:t xml:space="preserve">ie </w:t>
            </w:r>
            <w:proofErr w:type="spellStart"/>
            <w:r>
              <w:t>kin</w:t>
            </w:r>
            <w:proofErr w:type="spellEnd"/>
            <w:r>
              <w:t xml:space="preserve">. Energie“, „je größer die Geschwindigkeit desto kleiner die </w:t>
            </w:r>
            <w:proofErr w:type="spellStart"/>
            <w:r>
              <w:t>pot</w:t>
            </w:r>
            <w:proofErr w:type="spellEnd"/>
            <w:r>
              <w:t>. Energie“</w:t>
            </w:r>
          </w:p>
        </w:tc>
      </w:tr>
    </w:tbl>
    <w:p w:rsidR="00897F51" w:rsidRDefault="00897F51">
      <w:pPr>
        <w:pStyle w:val="Medienbausteine1"/>
        <w:rPr>
          <w:rFonts w:hint="eastAsia"/>
        </w:rPr>
      </w:pPr>
    </w:p>
    <w:sectPr w:rsidR="00897F51">
      <w:footerReference w:type="default" r:id="rId9"/>
      <w:pgSz w:w="11906" w:h="16838"/>
      <w:pgMar w:top="1134" w:right="1134" w:bottom="1874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07" w:rsidRDefault="00425707">
      <w:pPr>
        <w:rPr>
          <w:rFonts w:hint="eastAsia"/>
        </w:rPr>
      </w:pPr>
      <w:r>
        <w:separator/>
      </w:r>
    </w:p>
  </w:endnote>
  <w:endnote w:type="continuationSeparator" w:id="0">
    <w:p w:rsidR="00425707" w:rsidRDefault="004257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51" w:rsidRDefault="00532198" w:rsidP="00532198">
    <w:pPr>
      <w:pStyle w:val="Medienbausteine1"/>
      <w:rPr>
        <w:rFonts w:hint="eastAsia"/>
      </w:rPr>
    </w:pPr>
    <w:r>
      <w:rPr>
        <w:noProof/>
        <w:lang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5009515</wp:posOffset>
          </wp:positionH>
          <wp:positionV relativeFrom="paragraph">
            <wp:posOffset>12700</wp:posOffset>
          </wp:positionV>
          <wp:extent cx="1113790" cy="389255"/>
          <wp:effectExtent l="0" t="0" r="0" b="0"/>
          <wp:wrapSquare wrapText="largest"/>
          <wp:docPr id="1" name="Bild2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2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5707">
      <w:rPr>
        <w:sz w:val="16"/>
        <w:szCs w:val="16"/>
      </w:rPr>
      <w:t>Im Skate Park: Umwandlung mechanischer Energie</w:t>
    </w:r>
    <w:r w:rsidR="00425707">
      <w:rPr>
        <w:sz w:val="16"/>
        <w:szCs w:val="16"/>
      </w:rPr>
      <w:br/>
    </w:r>
    <w:r w:rsidR="00425707">
      <w:rPr>
        <w:sz w:val="16"/>
        <w:szCs w:val="16"/>
      </w:rPr>
      <w:t xml:space="preserve">Dieses Material wurde erstellt von Malin Klawonn und steht unter der </w:t>
    </w:r>
    <w:r w:rsidR="00425707">
      <w:rPr>
        <w:sz w:val="16"/>
        <w:szCs w:val="16"/>
      </w:rPr>
      <w:t xml:space="preserve">Lizenz </w:t>
    </w:r>
    <w:hyperlink r:id="rId2">
      <w:r w:rsidR="00425707">
        <w:rPr>
          <w:rStyle w:val="Internetverknpfung"/>
          <w:sz w:val="16"/>
          <w:szCs w:val="16"/>
        </w:rPr>
        <w:t>CC BY-NC-SA 3.0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07" w:rsidRDefault="00425707">
      <w:pPr>
        <w:rPr>
          <w:rFonts w:hint="eastAsia"/>
        </w:rPr>
      </w:pPr>
      <w:r>
        <w:separator/>
      </w:r>
    </w:p>
  </w:footnote>
  <w:footnote w:type="continuationSeparator" w:id="0">
    <w:p w:rsidR="00425707" w:rsidRDefault="0042570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00378"/>
    <w:multiLevelType w:val="multilevel"/>
    <w:tmpl w:val="95267B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956716"/>
    <w:multiLevelType w:val="multilevel"/>
    <w:tmpl w:val="EFF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06F7E4D"/>
    <w:multiLevelType w:val="multilevel"/>
    <w:tmpl w:val="542A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A6D4291"/>
    <w:multiLevelType w:val="multilevel"/>
    <w:tmpl w:val="0AEA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2487B38"/>
    <w:multiLevelType w:val="multilevel"/>
    <w:tmpl w:val="D808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F51"/>
    <w:rsid w:val="00425707"/>
    <w:rsid w:val="00532198"/>
    <w:rsid w:val="008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FCC17-D773-4854-B245-B4E08D22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color w:val="00000A"/>
      <w:sz w:val="24"/>
    </w:rPr>
  </w:style>
  <w:style w:type="paragraph" w:styleId="berschrift1">
    <w:name w:val="heading 1"/>
    <w:basedOn w:val="berschrift"/>
    <w:qFormat/>
    <w:p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  <w:sz w:val="20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styleId="Funotenzeichen">
    <w:name w:val="footnote reference"/>
    <w:qFormat/>
  </w:style>
  <w:style w:type="character" w:customStyle="1" w:styleId="Funotenanker">
    <w:name w:val="Fußnotenanker"/>
    <w:rPr>
      <w:vertAlign w:val="superscript"/>
    </w:rPr>
  </w:style>
  <w:style w:type="character" w:customStyle="1" w:styleId="Endnotenanker">
    <w:name w:val="Endnotenanker"/>
    <w:rPr>
      <w:vertAlign w:val="superscript"/>
    </w:rPr>
  </w:style>
  <w:style w:type="character" w:styleId="Endnotenzeichen">
    <w:name w:val="endnote reference"/>
    <w:qFormat/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  <w:sz w:val="20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  <w:sz w:val="20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  <w:sz w:val="20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  <w:sz w:val="20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  <w:sz w:val="20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  <w:sz w:val="20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Medienbausteine">
    <w:name w:val="Medienbausteine"/>
    <w:basedOn w:val="berschrift1"/>
    <w:qFormat/>
    <w:pPr>
      <w:pBdr>
        <w:left w:val="single" w:sz="32" w:space="1" w:color="000001"/>
      </w:pBdr>
      <w:shd w:val="clear" w:color="auto" w:fill="EEEEEE"/>
      <w:spacing w:before="227" w:after="113"/>
      <w:jc w:val="center"/>
    </w:pPr>
    <w:rPr>
      <w:rFonts w:ascii="Malgun Gothic Semilight" w:hAnsi="Malgun Gothic Semilight"/>
      <w:bCs w:val="0"/>
      <w:spacing w:val="8"/>
    </w:rPr>
  </w:style>
  <w:style w:type="paragraph" w:customStyle="1" w:styleId="Medienbausteine1">
    <w:name w:val="Medienbausteine 1"/>
    <w:basedOn w:val="Standard"/>
    <w:qFormat/>
    <w:pPr>
      <w:spacing w:line="276" w:lineRule="auto"/>
    </w:pPr>
    <w:rPr>
      <w:rFonts w:ascii="Malgun Gothic" w:hAnsi="Malgun Gothic"/>
      <w:spacing w:val="4"/>
      <w:sz w:val="22"/>
    </w:rPr>
  </w:style>
  <w:style w:type="paragraph" w:customStyle="1" w:styleId="MedienbausteinArbeitsauftrag">
    <w:name w:val="Medienbaustein: Arbeitsauftrag"/>
    <w:basedOn w:val="Standard"/>
    <w:qFormat/>
    <w:pPr>
      <w:pBdr>
        <w:top w:val="single" w:sz="4" w:space="5" w:color="000001" w:shadow="1"/>
        <w:left w:val="single" w:sz="4" w:space="5" w:color="000001" w:shadow="1"/>
        <w:bottom w:val="single" w:sz="4" w:space="5" w:color="000001" w:shadow="1"/>
        <w:right w:val="single" w:sz="4" w:space="5" w:color="000001" w:shadow="1"/>
      </w:pBdr>
      <w:shd w:val="clear" w:color="auto" w:fill="EEEEEE"/>
      <w:spacing w:before="57" w:after="57" w:line="360" w:lineRule="auto"/>
      <w:ind w:left="113" w:right="113"/>
    </w:pPr>
    <w:rPr>
      <w:rFonts w:ascii="Malgun Gothic" w:hAnsi="Malgun Gothic"/>
      <w:spacing w:val="2"/>
    </w:rPr>
  </w:style>
  <w:style w:type="paragraph" w:customStyle="1" w:styleId="Medienbaustein2">
    <w:name w:val="Medienbaustein Ü2"/>
    <w:basedOn w:val="berschrift2"/>
    <w:qFormat/>
    <w:pPr>
      <w:shd w:val="clear" w:color="auto" w:fill="EEEEEE"/>
      <w:spacing w:before="170" w:after="113"/>
    </w:pPr>
    <w:rPr>
      <w:rFonts w:ascii="Arial" w:hAnsi="Arial"/>
      <w:b w:val="0"/>
      <w:bCs w:val="0"/>
      <w:spacing w:val="4"/>
    </w:rPr>
  </w:style>
  <w:style w:type="paragraph" w:customStyle="1" w:styleId="Abbildung">
    <w:name w:val="Abbildung"/>
    <w:basedOn w:val="Beschriftung"/>
    <w:qFormat/>
  </w:style>
  <w:style w:type="paragraph" w:customStyle="1" w:styleId="MedienbausteinBildunterschrift">
    <w:name w:val="Medienbaustein Bildunterschrift"/>
    <w:basedOn w:val="Abbildung"/>
    <w:qFormat/>
    <w:rPr>
      <w:rFonts w:ascii="Malgun Gothic" w:hAnsi="Malgun Gothic"/>
      <w:sz w:val="16"/>
    </w:rPr>
  </w:style>
  <w:style w:type="paragraph" w:customStyle="1" w:styleId="Rahmeninhalt">
    <w:name w:val="Rahmeninhalt"/>
    <w:basedOn w:val="Standard"/>
    <w:qFormat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Funotentext">
    <w:name w:val="footnote text"/>
    <w:basedOn w:val="Standard"/>
    <w:pPr>
      <w:suppressLineNumbers/>
      <w:ind w:left="339" w:hanging="339"/>
    </w:pPr>
    <w:rPr>
      <w:sz w:val="20"/>
      <w:szCs w:val="20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XF2C-vrQ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UIcxx1Zh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3.0/d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3084</Characters>
  <Application>Microsoft Office Word</Application>
  <DocSecurity>0</DocSecurity>
  <Lines>25</Lines>
  <Paragraphs>7</Paragraphs>
  <ScaleCrop>false</ScaleCrop>
  <Company>..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Puderbach, Thorsten</cp:lastModifiedBy>
  <cp:revision>47</cp:revision>
  <dcterms:created xsi:type="dcterms:W3CDTF">2018-05-23T16:17:00Z</dcterms:created>
  <dcterms:modified xsi:type="dcterms:W3CDTF">2019-04-01T08:05:00Z</dcterms:modified>
  <dc:language>de-DE</dc:language>
</cp:coreProperties>
</file>