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6121" w14:textId="77777777" w:rsidR="00AC0760" w:rsidRPr="001C3DB3" w:rsidRDefault="005963E1" w:rsidP="00D133D2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 w:rsidRPr="001C3DB3">
        <w:rPr>
          <w:rFonts w:asciiTheme="minorHAnsi" w:hAnsiTheme="minorHAnsi" w:cs="Calibri Light"/>
          <w:b/>
          <w:sz w:val="24"/>
          <w:szCs w:val="24"/>
        </w:rPr>
        <w:t xml:space="preserve">Geometrie mit </w:t>
      </w:r>
      <w:proofErr w:type="spellStart"/>
      <w:r w:rsidRPr="001C3DB3">
        <w:rPr>
          <w:rFonts w:asciiTheme="minorHAnsi" w:hAnsiTheme="minorHAnsi" w:cs="Calibri Light"/>
          <w:b/>
          <w:sz w:val="24"/>
          <w:szCs w:val="24"/>
        </w:rPr>
        <w:t>GeoGebra</w:t>
      </w:r>
      <w:proofErr w:type="spellEnd"/>
    </w:p>
    <w:p w14:paraId="195C4FFC" w14:textId="77777777" w:rsidR="002E7EFE" w:rsidRDefault="00757D33" w:rsidP="002E7EF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91E91">
        <w:rPr>
          <w:rFonts w:asciiTheme="minorHAnsi" w:hAnsiTheme="minorHAnsi"/>
          <w:sz w:val="24"/>
          <w:szCs w:val="24"/>
        </w:rPr>
        <w:t>Vorbereitung:</w:t>
      </w:r>
    </w:p>
    <w:p w14:paraId="5FC2DEC4" w14:textId="62323645" w:rsidR="002E7EFE" w:rsidRDefault="00F43B1C" w:rsidP="002E7EF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lang w:eastAsia="de-DE"/>
        </w:rPr>
        <w:t>Das Programm wird ständig</w:t>
      </w:r>
      <w:r w:rsidR="00757D33" w:rsidRPr="00391E91">
        <w:rPr>
          <w:rFonts w:asciiTheme="minorHAnsi" w:hAnsiTheme="minorHAnsi"/>
          <w:lang w:eastAsia="de-DE"/>
        </w:rPr>
        <w:t xml:space="preserve"> weiterentwickelt und erweitert. Hier kommt die Version </w:t>
      </w:r>
      <w:r w:rsidR="004D2BC0">
        <w:rPr>
          <w:rFonts w:asciiTheme="minorHAnsi" w:hAnsiTheme="minorHAnsi"/>
          <w:lang w:eastAsia="de-DE"/>
        </w:rPr>
        <w:t>„</w:t>
      </w:r>
      <w:proofErr w:type="spellStart"/>
      <w:r w:rsidR="00757D33" w:rsidRPr="00391E91">
        <w:rPr>
          <w:rFonts w:asciiTheme="minorHAnsi" w:hAnsiTheme="minorHAnsi"/>
          <w:lang w:eastAsia="de-DE"/>
        </w:rPr>
        <w:t>GeoGebra</w:t>
      </w:r>
      <w:proofErr w:type="spellEnd"/>
      <w:r w:rsidR="00757D33" w:rsidRPr="00391E91">
        <w:rPr>
          <w:rFonts w:asciiTheme="minorHAnsi" w:hAnsiTheme="minorHAnsi"/>
          <w:lang w:eastAsia="de-DE"/>
        </w:rPr>
        <w:t xml:space="preserve"> Geometrie</w:t>
      </w:r>
      <w:r w:rsidR="004D2BC0">
        <w:rPr>
          <w:rFonts w:asciiTheme="minorHAnsi" w:hAnsiTheme="minorHAnsi"/>
          <w:lang w:eastAsia="de-DE"/>
        </w:rPr>
        <w:t>“</w:t>
      </w:r>
      <w:r w:rsidR="00757D33" w:rsidRPr="00391E91">
        <w:rPr>
          <w:rFonts w:asciiTheme="minorHAnsi" w:hAnsiTheme="minorHAnsi"/>
          <w:lang w:eastAsia="de-DE"/>
        </w:rPr>
        <w:t xml:space="preserve"> zum Einsatz. Das Programm kann online ohne Installation auf PC und </w:t>
      </w:r>
      <w:proofErr w:type="spellStart"/>
      <w:r w:rsidR="00757D33" w:rsidRPr="00391E91">
        <w:rPr>
          <w:rFonts w:asciiTheme="minorHAnsi" w:hAnsiTheme="minorHAnsi"/>
          <w:lang w:eastAsia="de-DE"/>
        </w:rPr>
        <w:t>Tablet</w:t>
      </w:r>
      <w:proofErr w:type="spellEnd"/>
      <w:r w:rsidR="00757D33" w:rsidRPr="00391E91">
        <w:rPr>
          <w:rFonts w:asciiTheme="minorHAnsi" w:hAnsiTheme="minorHAnsi"/>
          <w:lang w:eastAsia="de-DE"/>
        </w:rPr>
        <w:t xml:space="preserve"> (und Smartphone) genutzt werden. Bei einem instabilen Internetzugang sollte das Programm besser </w:t>
      </w:r>
      <w:r w:rsidR="00757D33" w:rsidRPr="007405EC">
        <w:rPr>
          <w:rFonts w:asciiTheme="minorHAnsi" w:hAnsiTheme="minorHAnsi"/>
          <w:lang w:eastAsia="de-DE"/>
        </w:rPr>
        <w:t xml:space="preserve">heruntergeladen und installiert werden. Das Programm ist kostenlos. Eine Registrierung ist nicht erforderlich. Informationen zur Bedienung gibt es auf der Seite </w:t>
      </w:r>
      <w:hyperlink r:id="rId9" w:history="1">
        <w:r w:rsidR="00850E99" w:rsidRPr="007405EC">
          <w:rPr>
            <w:rStyle w:val="Link"/>
            <w:rFonts w:asciiTheme="minorHAnsi" w:hAnsiTheme="minorHAnsi"/>
            <w:lang w:eastAsia="de-DE"/>
          </w:rPr>
          <w:t>https://www.geogebra.org</w:t>
        </w:r>
      </w:hyperlink>
      <w:r w:rsidR="00757D33" w:rsidRPr="007405EC">
        <w:rPr>
          <w:rFonts w:asciiTheme="minorHAnsi" w:hAnsiTheme="minorHAnsi"/>
          <w:lang w:eastAsia="de-DE"/>
        </w:rPr>
        <w:t>.</w:t>
      </w:r>
    </w:p>
    <w:p w14:paraId="31B1A710" w14:textId="51E8DBBF" w:rsidR="00850E99" w:rsidRPr="002E7EFE" w:rsidRDefault="00850E99" w:rsidP="002E7EF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405EC">
        <w:rPr>
          <w:rFonts w:asciiTheme="minorHAnsi" w:hAnsiTheme="minorHAnsi"/>
          <w:lang w:eastAsia="de-DE"/>
        </w:rPr>
        <w:t xml:space="preserve">Einzelne Funktionsweisen (bspw. Rechtsklick) und Darstellungen variieren zwischen PC- und </w:t>
      </w:r>
      <w:proofErr w:type="spellStart"/>
      <w:r w:rsidRPr="007405EC">
        <w:rPr>
          <w:rFonts w:asciiTheme="minorHAnsi" w:hAnsiTheme="minorHAnsi"/>
          <w:lang w:eastAsia="de-DE"/>
        </w:rPr>
        <w:t>Tabletversion</w:t>
      </w:r>
      <w:proofErr w:type="spellEnd"/>
      <w:r w:rsidRPr="007405EC">
        <w:rPr>
          <w:rFonts w:asciiTheme="minorHAnsi" w:hAnsiTheme="minorHAnsi"/>
          <w:lang w:eastAsia="de-DE"/>
        </w:rPr>
        <w:t xml:space="preserve"> bzw. zwischen IOS/</w:t>
      </w:r>
      <w:proofErr w:type="spellStart"/>
      <w:r w:rsidR="00391E91" w:rsidRPr="007405EC">
        <w:rPr>
          <w:rFonts w:asciiTheme="minorHAnsi" w:hAnsiTheme="minorHAnsi"/>
          <w:lang w:eastAsia="de-DE"/>
        </w:rPr>
        <w:t>macOS</w:t>
      </w:r>
      <w:proofErr w:type="spellEnd"/>
      <w:r w:rsidR="00391E91" w:rsidRPr="007405EC">
        <w:rPr>
          <w:rFonts w:asciiTheme="minorHAnsi" w:hAnsiTheme="minorHAnsi"/>
          <w:lang w:eastAsia="de-DE"/>
        </w:rPr>
        <w:t xml:space="preserve">, </w:t>
      </w:r>
      <w:proofErr w:type="spellStart"/>
      <w:r w:rsidR="00391E91" w:rsidRPr="007405EC">
        <w:rPr>
          <w:rFonts w:asciiTheme="minorHAnsi" w:hAnsiTheme="minorHAnsi"/>
          <w:lang w:eastAsia="de-DE"/>
        </w:rPr>
        <w:t>Android</w:t>
      </w:r>
      <w:proofErr w:type="spellEnd"/>
      <w:r w:rsidR="00391E91" w:rsidRPr="007405EC">
        <w:rPr>
          <w:rFonts w:asciiTheme="minorHAnsi" w:hAnsiTheme="minorHAnsi"/>
          <w:lang w:eastAsia="de-DE"/>
        </w:rPr>
        <w:t xml:space="preserve"> und Windows</w:t>
      </w:r>
      <w:r w:rsidRPr="007405EC">
        <w:rPr>
          <w:rFonts w:asciiTheme="minorHAnsi" w:hAnsiTheme="minorHAnsi"/>
          <w:lang w:eastAsia="de-DE"/>
        </w:rPr>
        <w:t xml:space="preserve">. Daher sollte die Lehrkraft </w:t>
      </w:r>
      <w:r w:rsidR="00391E91" w:rsidRPr="007405EC">
        <w:rPr>
          <w:rFonts w:asciiTheme="minorHAnsi" w:hAnsiTheme="minorHAnsi"/>
          <w:lang w:eastAsia="de-DE"/>
        </w:rPr>
        <w:t>die Materialien vorab mit den</w:t>
      </w:r>
      <w:r w:rsidRPr="007405EC">
        <w:rPr>
          <w:rFonts w:asciiTheme="minorHAnsi" w:hAnsiTheme="minorHAnsi"/>
          <w:lang w:eastAsia="de-DE"/>
        </w:rPr>
        <w:t xml:space="preserve"> zur Verfügung stehenden Gerät</w:t>
      </w:r>
      <w:r w:rsidR="00391E91" w:rsidRPr="007405EC">
        <w:rPr>
          <w:rFonts w:asciiTheme="minorHAnsi" w:hAnsiTheme="minorHAnsi"/>
          <w:lang w:eastAsia="de-DE"/>
        </w:rPr>
        <w:t xml:space="preserve">en auf Übereinstimmung </w:t>
      </w:r>
      <w:r w:rsidR="007405EC">
        <w:rPr>
          <w:rFonts w:asciiTheme="minorHAnsi" w:hAnsiTheme="minorHAnsi"/>
          <w:lang w:eastAsia="de-DE"/>
        </w:rPr>
        <w:t>prüfen</w:t>
      </w:r>
      <w:r w:rsidR="00391E91" w:rsidRPr="007405EC">
        <w:rPr>
          <w:rFonts w:asciiTheme="minorHAnsi" w:hAnsiTheme="minorHAnsi"/>
          <w:lang w:eastAsia="de-DE"/>
        </w:rPr>
        <w:t>.</w:t>
      </w:r>
    </w:p>
    <w:tbl>
      <w:tblPr>
        <w:tblpPr w:leftFromText="141" w:rightFromText="141" w:vertAnchor="text" w:horzAnchor="page" w:tblpX="1526" w:tblpY="5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268"/>
      </w:tblGrid>
      <w:tr w:rsidR="00391E91" w:rsidRPr="007405EC" w14:paraId="30CF7F8A" w14:textId="77777777" w:rsidTr="00391E91">
        <w:tc>
          <w:tcPr>
            <w:tcW w:w="1951" w:type="dxa"/>
            <w:shd w:val="clear" w:color="auto" w:fill="DEEAF6"/>
          </w:tcPr>
          <w:p w14:paraId="4F3C14D9" w14:textId="77777777" w:rsidR="00391E91" w:rsidRPr="007405EC" w:rsidRDefault="00391E91" w:rsidP="00391E91">
            <w:pPr>
              <w:rPr>
                <w:rFonts w:asciiTheme="minorHAnsi" w:hAnsiTheme="minorHAnsi"/>
                <w:sz w:val="20"/>
                <w:szCs w:val="20"/>
              </w:rPr>
            </w:pPr>
            <w:r w:rsidRPr="007405EC">
              <w:rPr>
                <w:rFonts w:asciiTheme="minorHAnsi" w:hAnsiTheme="minorHAnsi"/>
                <w:sz w:val="20"/>
                <w:szCs w:val="20"/>
              </w:rPr>
              <w:t>Phase/ (Zeit) /Methode</w:t>
            </w:r>
          </w:p>
        </w:tc>
        <w:tc>
          <w:tcPr>
            <w:tcW w:w="5103" w:type="dxa"/>
            <w:shd w:val="clear" w:color="auto" w:fill="DEEAF6"/>
          </w:tcPr>
          <w:p w14:paraId="4EF8B361" w14:textId="77777777" w:rsidR="00391E91" w:rsidRPr="007405EC" w:rsidRDefault="00391E91" w:rsidP="00391E91">
            <w:pPr>
              <w:rPr>
                <w:rFonts w:asciiTheme="minorHAnsi" w:hAnsiTheme="minorHAnsi"/>
                <w:sz w:val="20"/>
                <w:szCs w:val="20"/>
              </w:rPr>
            </w:pPr>
            <w:r w:rsidRPr="007405EC">
              <w:rPr>
                <w:rFonts w:asciiTheme="minorHAnsi" w:hAnsiTheme="minorHAnsi"/>
                <w:sz w:val="20"/>
                <w:szCs w:val="20"/>
              </w:rPr>
              <w:t>Beschreibung/ Inhalt</w:t>
            </w:r>
          </w:p>
        </w:tc>
        <w:tc>
          <w:tcPr>
            <w:tcW w:w="2268" w:type="dxa"/>
            <w:shd w:val="clear" w:color="auto" w:fill="DEEAF6"/>
          </w:tcPr>
          <w:p w14:paraId="36067551" w14:textId="77777777" w:rsidR="00391E91" w:rsidRPr="007405EC" w:rsidRDefault="00391E91" w:rsidP="00391E91">
            <w:pPr>
              <w:rPr>
                <w:rFonts w:asciiTheme="minorHAnsi" w:hAnsiTheme="minorHAnsi"/>
                <w:sz w:val="20"/>
                <w:szCs w:val="20"/>
              </w:rPr>
            </w:pPr>
            <w:r w:rsidRPr="007405EC">
              <w:rPr>
                <w:rFonts w:asciiTheme="minorHAnsi" w:hAnsiTheme="minorHAnsi"/>
                <w:sz w:val="20"/>
                <w:szCs w:val="20"/>
              </w:rPr>
              <w:t>Material/ Medien</w:t>
            </w:r>
          </w:p>
        </w:tc>
      </w:tr>
      <w:tr w:rsidR="00391E91" w:rsidRPr="007405EC" w14:paraId="7C625F82" w14:textId="77777777" w:rsidTr="00391E91">
        <w:tc>
          <w:tcPr>
            <w:tcW w:w="1951" w:type="dxa"/>
            <w:tcBorders>
              <w:bottom w:val="single" w:sz="4" w:space="0" w:color="auto"/>
            </w:tcBorders>
          </w:tcPr>
          <w:p w14:paraId="235CA62E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Einstieg</w:t>
            </w:r>
          </w:p>
          <w:p w14:paraId="345FEC68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(5min)</w:t>
            </w:r>
          </w:p>
          <w:p w14:paraId="5EFD2660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Plenum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B60D7D" w14:textId="76D2CCD1" w:rsidR="00391E91" w:rsidRPr="007405EC" w:rsidRDefault="00391E91" w:rsidP="006E0FE0">
            <w:pPr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 xml:space="preserve">Die Lehrkraft </w:t>
            </w:r>
            <w:r w:rsidR="0071265C" w:rsidRPr="007405EC">
              <w:rPr>
                <w:rFonts w:asciiTheme="minorHAnsi" w:hAnsiTheme="minorHAnsi"/>
                <w:sz w:val="18"/>
                <w:szCs w:val="18"/>
              </w:rPr>
              <w:t xml:space="preserve">zeigt die Einstiegskonstruktion, auf welcher zwei Dreiecke zu sehen sind. Durch Bewegen der Eckpunkte und </w:t>
            </w:r>
            <w:r w:rsidR="002E7EFE">
              <w:rPr>
                <w:rFonts w:asciiTheme="minorHAnsi" w:hAnsiTheme="minorHAnsi"/>
                <w:sz w:val="18"/>
                <w:szCs w:val="18"/>
              </w:rPr>
              <w:t xml:space="preserve">nachträgliches </w:t>
            </w:r>
            <w:r w:rsidR="006E0FE0">
              <w:rPr>
                <w:rFonts w:asciiTheme="minorHAnsi" w:hAnsiTheme="minorHAnsi"/>
                <w:sz w:val="18"/>
                <w:szCs w:val="18"/>
              </w:rPr>
              <w:t>Einblenden</w:t>
            </w:r>
            <w:r w:rsidR="0071265C" w:rsidRPr="007405EC">
              <w:rPr>
                <w:rFonts w:asciiTheme="minorHAnsi" w:hAnsiTheme="minorHAnsi"/>
                <w:sz w:val="18"/>
                <w:szCs w:val="18"/>
              </w:rPr>
              <w:t xml:space="preserve"> der Symmetrieachse </w:t>
            </w:r>
            <w:r w:rsidR="00A06A12" w:rsidRPr="007405EC">
              <w:rPr>
                <w:rFonts w:asciiTheme="minorHAnsi" w:hAnsiTheme="minorHAnsi"/>
                <w:sz w:val="18"/>
                <w:szCs w:val="18"/>
              </w:rPr>
              <w:t>wird zum Stundenthema</w:t>
            </w:r>
            <w:proofErr w:type="gramStart"/>
            <w:r w:rsidR="00A06A12" w:rsidRPr="007405EC">
              <w:rPr>
                <w:rFonts w:asciiTheme="minorHAnsi" w:hAnsiTheme="minorHAnsi"/>
                <w:sz w:val="18"/>
                <w:szCs w:val="18"/>
              </w:rPr>
              <w:t>, dem</w:t>
            </w:r>
            <w:proofErr w:type="gramEnd"/>
            <w:r w:rsidR="00A06A12" w:rsidRPr="007405EC">
              <w:rPr>
                <w:rFonts w:asciiTheme="minorHAnsi" w:hAnsiTheme="minorHAnsi"/>
                <w:sz w:val="18"/>
                <w:szCs w:val="18"/>
              </w:rPr>
              <w:t xml:space="preserve"> Umgang mit dem Programm </w:t>
            </w:r>
            <w:proofErr w:type="spellStart"/>
            <w:r w:rsidR="00A06A12" w:rsidRPr="007405EC">
              <w:rPr>
                <w:rFonts w:asciiTheme="minorHAnsi" w:hAnsiTheme="minorHAnsi"/>
                <w:sz w:val="18"/>
                <w:szCs w:val="18"/>
              </w:rPr>
              <w:t>GeoGebra</w:t>
            </w:r>
            <w:proofErr w:type="spellEnd"/>
            <w:r w:rsidR="00A06A12" w:rsidRPr="007405EC">
              <w:rPr>
                <w:rFonts w:asciiTheme="minorHAnsi" w:hAnsiTheme="minorHAnsi"/>
                <w:sz w:val="18"/>
                <w:szCs w:val="18"/>
              </w:rPr>
              <w:t xml:space="preserve"> Geometrie am Beispiel einfacher Spiegelkonstruktionen, übergeleitet.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085C73" w14:textId="77777777" w:rsidR="00391E91" w:rsidRDefault="00627F7B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Interaktives Whiteboard</w:t>
            </w:r>
          </w:p>
          <w:p w14:paraId="53303B5E" w14:textId="4C79A375" w:rsidR="006E0FE0" w:rsidRPr="007405EC" w:rsidRDefault="006E0FE0" w:rsidP="00391E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Datei Lehrermaterialien</w:t>
            </w:r>
          </w:p>
        </w:tc>
      </w:tr>
      <w:tr w:rsidR="00391E91" w:rsidRPr="007405EC" w14:paraId="42ABC845" w14:textId="77777777" w:rsidTr="00391E91">
        <w:tc>
          <w:tcPr>
            <w:tcW w:w="1951" w:type="dxa"/>
            <w:shd w:val="clear" w:color="auto" w:fill="DEEAF6"/>
          </w:tcPr>
          <w:p w14:paraId="64F700AD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Erarbeitung</w:t>
            </w:r>
          </w:p>
          <w:p w14:paraId="72E1CFD3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(</w:t>
            </w:r>
            <w:r w:rsidRPr="007405EC">
              <w:rPr>
                <w:rFonts w:ascii="Monaco" w:hAnsi="Monaco" w:cs="Monaco"/>
                <w:sz w:val="18"/>
                <w:szCs w:val="18"/>
              </w:rPr>
              <w:t>∼</w:t>
            </w:r>
            <w:r w:rsidRPr="007405EC">
              <w:rPr>
                <w:rFonts w:asciiTheme="minorHAnsi" w:hAnsiTheme="minorHAnsi" w:cs="Monaco"/>
                <w:sz w:val="18"/>
                <w:szCs w:val="18"/>
              </w:rPr>
              <w:t>30</w:t>
            </w:r>
            <w:r w:rsidRPr="007405EC">
              <w:rPr>
                <w:rFonts w:asciiTheme="minorHAnsi" w:hAnsiTheme="minorHAnsi"/>
                <w:sz w:val="18"/>
                <w:szCs w:val="18"/>
              </w:rPr>
              <w:t>min)</w:t>
            </w:r>
          </w:p>
          <w:p w14:paraId="5BEECFD5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Einzel-/Partnerarbeit</w:t>
            </w:r>
          </w:p>
        </w:tc>
        <w:tc>
          <w:tcPr>
            <w:tcW w:w="5103" w:type="dxa"/>
            <w:shd w:val="clear" w:color="auto" w:fill="DEEAF6"/>
          </w:tcPr>
          <w:p w14:paraId="73A7F3B8" w14:textId="57C852AF" w:rsidR="00391E91" w:rsidRPr="007405EC" w:rsidRDefault="00FA18E8" w:rsidP="00FA18E8">
            <w:pPr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 xml:space="preserve">Die </w:t>
            </w:r>
            <w:proofErr w:type="spellStart"/>
            <w:r w:rsidRPr="007405EC">
              <w:rPr>
                <w:rFonts w:asciiTheme="minorHAnsi" w:hAnsiTheme="minorHAnsi"/>
                <w:sz w:val="18"/>
                <w:szCs w:val="18"/>
              </w:rPr>
              <w:t>SuS</w:t>
            </w:r>
            <w:proofErr w:type="spellEnd"/>
            <w:r w:rsidRPr="007405EC">
              <w:rPr>
                <w:rFonts w:asciiTheme="minorHAnsi" w:hAnsiTheme="minorHAnsi"/>
                <w:sz w:val="18"/>
                <w:szCs w:val="18"/>
              </w:rPr>
              <w:t xml:space="preserve"> erhalten AB 1 und dürfen sich nach gemeinsamem Öffnen des Programms in Einzel- oder Partnerarbeit mit dem kleinschrittigen Arbeitsauftrag auseinandersetzen. Das Abspeichern der Dateien nach Beendigung des Arbeitsauftrags muss je </w:t>
            </w:r>
            <w:r w:rsidR="00DD653A">
              <w:rPr>
                <w:rFonts w:asciiTheme="minorHAnsi" w:hAnsiTheme="minorHAnsi"/>
                <w:sz w:val="18"/>
                <w:szCs w:val="18"/>
              </w:rPr>
              <w:t xml:space="preserve">nach </w:t>
            </w:r>
            <w:r w:rsidRPr="007405EC">
              <w:rPr>
                <w:rFonts w:asciiTheme="minorHAnsi" w:hAnsiTheme="minorHAnsi"/>
                <w:sz w:val="18"/>
                <w:szCs w:val="18"/>
              </w:rPr>
              <w:t>System durch die Lehrkraft angeleitet werden.</w:t>
            </w:r>
          </w:p>
        </w:tc>
        <w:tc>
          <w:tcPr>
            <w:tcW w:w="2268" w:type="dxa"/>
            <w:shd w:val="clear" w:color="auto" w:fill="DEEAF6"/>
          </w:tcPr>
          <w:p w14:paraId="0D3DD5C7" w14:textId="77777777" w:rsidR="00391E91" w:rsidRPr="007405EC" w:rsidRDefault="00391E91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AB 1</w:t>
            </w:r>
          </w:p>
          <w:p w14:paraId="183EF78E" w14:textId="77777777" w:rsidR="00391E91" w:rsidRPr="007405EC" w:rsidRDefault="00391E91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PCs/</w:t>
            </w:r>
            <w:proofErr w:type="spellStart"/>
            <w:r w:rsidRPr="007405EC">
              <w:rPr>
                <w:rFonts w:asciiTheme="minorHAnsi" w:hAnsiTheme="minorHAnsi"/>
                <w:sz w:val="18"/>
                <w:szCs w:val="18"/>
              </w:rPr>
              <w:t>Tablets</w:t>
            </w:r>
            <w:proofErr w:type="spellEnd"/>
          </w:p>
        </w:tc>
      </w:tr>
      <w:tr w:rsidR="00391E91" w:rsidRPr="007405EC" w14:paraId="5D873557" w14:textId="77777777" w:rsidTr="00391E91">
        <w:tc>
          <w:tcPr>
            <w:tcW w:w="1951" w:type="dxa"/>
            <w:tcBorders>
              <w:bottom w:val="single" w:sz="4" w:space="0" w:color="auto"/>
            </w:tcBorders>
          </w:tcPr>
          <w:p w14:paraId="532ED60F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Sicherung</w:t>
            </w:r>
          </w:p>
          <w:p w14:paraId="46D6D2DE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(</w:t>
            </w:r>
            <w:r w:rsidRPr="007405EC">
              <w:rPr>
                <w:rFonts w:ascii="Monaco" w:hAnsi="Monaco" w:cs="Monaco"/>
                <w:sz w:val="18"/>
                <w:szCs w:val="18"/>
              </w:rPr>
              <w:t>∼</w:t>
            </w:r>
            <w:r w:rsidRPr="007405EC">
              <w:rPr>
                <w:rFonts w:asciiTheme="minorHAnsi" w:hAnsiTheme="minorHAnsi"/>
                <w:sz w:val="18"/>
                <w:szCs w:val="18"/>
              </w:rPr>
              <w:t>5min)</w:t>
            </w:r>
          </w:p>
          <w:p w14:paraId="3A646B2F" w14:textId="77777777" w:rsidR="00391E91" w:rsidRPr="007405EC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Plenum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70D06D" w14:textId="54DA5A55" w:rsidR="00391E91" w:rsidRPr="007405EC" w:rsidRDefault="00DD653A" w:rsidP="00391E9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stellt/stellen Ergebnisse am interaktiven Whiteboard 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sofern vorhanden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 vor.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5F29E7" w14:textId="77777777" w:rsidR="00391E91" w:rsidRDefault="004A3AD2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7405EC">
              <w:rPr>
                <w:rFonts w:asciiTheme="minorHAnsi" w:hAnsiTheme="minorHAnsi"/>
                <w:sz w:val="18"/>
                <w:szCs w:val="18"/>
              </w:rPr>
              <w:t>Interaktives Whiteboard</w:t>
            </w:r>
          </w:p>
          <w:p w14:paraId="37F8C415" w14:textId="05511BA6" w:rsidR="003304A9" w:rsidRPr="007405EC" w:rsidRDefault="003304A9" w:rsidP="00391E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CFB53EE" w14:textId="60931DDA" w:rsidR="00632F0D" w:rsidRPr="007405EC" w:rsidRDefault="00757D33" w:rsidP="00391E91">
      <w:pPr>
        <w:spacing w:line="240" w:lineRule="auto"/>
        <w:rPr>
          <w:rFonts w:asciiTheme="minorHAnsi" w:hAnsiTheme="minorHAnsi"/>
          <w:sz w:val="28"/>
          <w:szCs w:val="28"/>
        </w:rPr>
      </w:pPr>
      <w:r w:rsidRPr="007405EC">
        <w:rPr>
          <w:rFonts w:asciiTheme="minorHAnsi" w:hAnsiTheme="minorHAnsi"/>
          <w:sz w:val="28"/>
          <w:szCs w:val="28"/>
        </w:rPr>
        <w:t>1. Stunde</w:t>
      </w:r>
    </w:p>
    <w:p w14:paraId="32F9314B" w14:textId="10269EAC" w:rsidR="00391E91" w:rsidRPr="001C3DB3" w:rsidRDefault="00391E91" w:rsidP="00391E91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Stunde</w:t>
      </w:r>
      <w:bookmarkStart w:id="0" w:name="_GoBack"/>
      <w:bookmarkEnd w:id="0"/>
    </w:p>
    <w:tbl>
      <w:tblPr>
        <w:tblpPr w:leftFromText="141" w:rightFromText="141" w:vertAnchor="text" w:horzAnchor="page" w:tblpX="1526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268"/>
      </w:tblGrid>
      <w:tr w:rsidR="00391E91" w:rsidRPr="001C3DB3" w14:paraId="32A7CD46" w14:textId="77777777" w:rsidTr="00391E91">
        <w:tc>
          <w:tcPr>
            <w:tcW w:w="1951" w:type="dxa"/>
            <w:shd w:val="clear" w:color="auto" w:fill="DEEAF6"/>
          </w:tcPr>
          <w:p w14:paraId="03810585" w14:textId="77777777" w:rsidR="00391E91" w:rsidRPr="001C3DB3" w:rsidRDefault="00391E91" w:rsidP="00391E91">
            <w:pPr>
              <w:rPr>
                <w:rFonts w:asciiTheme="minorHAnsi" w:hAnsiTheme="minorHAnsi"/>
                <w:sz w:val="20"/>
                <w:szCs w:val="20"/>
              </w:rPr>
            </w:pPr>
            <w:r w:rsidRPr="001C3DB3">
              <w:rPr>
                <w:rFonts w:asciiTheme="minorHAnsi" w:hAnsiTheme="minorHAnsi"/>
                <w:sz w:val="20"/>
                <w:szCs w:val="20"/>
              </w:rPr>
              <w:t>Phase/ (Zeit) /Methode</w:t>
            </w:r>
          </w:p>
        </w:tc>
        <w:tc>
          <w:tcPr>
            <w:tcW w:w="5103" w:type="dxa"/>
            <w:shd w:val="clear" w:color="auto" w:fill="DEEAF6"/>
          </w:tcPr>
          <w:p w14:paraId="07BD6EAD" w14:textId="77777777" w:rsidR="00391E91" w:rsidRPr="001C3DB3" w:rsidRDefault="00391E91" w:rsidP="00391E91">
            <w:pPr>
              <w:rPr>
                <w:rFonts w:asciiTheme="minorHAnsi" w:hAnsiTheme="minorHAnsi"/>
                <w:sz w:val="20"/>
                <w:szCs w:val="20"/>
              </w:rPr>
            </w:pPr>
            <w:r w:rsidRPr="001C3DB3">
              <w:rPr>
                <w:rFonts w:asciiTheme="minorHAnsi" w:hAnsiTheme="minorHAnsi"/>
                <w:sz w:val="20"/>
                <w:szCs w:val="20"/>
              </w:rPr>
              <w:t>Beschreibung/ Inhalt</w:t>
            </w:r>
          </w:p>
        </w:tc>
        <w:tc>
          <w:tcPr>
            <w:tcW w:w="2268" w:type="dxa"/>
            <w:shd w:val="clear" w:color="auto" w:fill="DEEAF6"/>
          </w:tcPr>
          <w:p w14:paraId="094B8E89" w14:textId="77777777" w:rsidR="00391E91" w:rsidRPr="001C3DB3" w:rsidRDefault="00391E91" w:rsidP="00391E91">
            <w:pPr>
              <w:rPr>
                <w:rFonts w:asciiTheme="minorHAnsi" w:hAnsiTheme="minorHAnsi"/>
                <w:sz w:val="20"/>
                <w:szCs w:val="20"/>
              </w:rPr>
            </w:pPr>
            <w:r w:rsidRPr="001C3DB3">
              <w:rPr>
                <w:rFonts w:asciiTheme="minorHAnsi" w:hAnsiTheme="minorHAnsi"/>
                <w:sz w:val="20"/>
                <w:szCs w:val="20"/>
              </w:rPr>
              <w:t>Material/ Medien</w:t>
            </w:r>
          </w:p>
        </w:tc>
      </w:tr>
      <w:tr w:rsidR="00391E91" w:rsidRPr="001C3DB3" w14:paraId="7787FBA5" w14:textId="77777777" w:rsidTr="00391E91">
        <w:tc>
          <w:tcPr>
            <w:tcW w:w="1951" w:type="dxa"/>
            <w:tcBorders>
              <w:bottom w:val="single" w:sz="4" w:space="0" w:color="auto"/>
            </w:tcBorders>
          </w:tcPr>
          <w:p w14:paraId="6A7AD669" w14:textId="77777777" w:rsidR="00391E91" w:rsidRPr="00A06A12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Erarbeitung</w:t>
            </w:r>
          </w:p>
          <w:p w14:paraId="05806E23" w14:textId="54388009" w:rsidR="00391E91" w:rsidRPr="00A06A12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(</w:t>
            </w:r>
            <w:r w:rsidRPr="00A06A12">
              <w:rPr>
                <w:rFonts w:ascii="Monaco" w:hAnsi="Monaco" w:cs="Monaco"/>
                <w:sz w:val="18"/>
                <w:szCs w:val="18"/>
              </w:rPr>
              <w:t>∼</w:t>
            </w:r>
            <w:r w:rsidR="006C16EB">
              <w:rPr>
                <w:rFonts w:asciiTheme="minorHAnsi" w:hAnsiTheme="minorHAnsi" w:cs="Monaco"/>
                <w:sz w:val="18"/>
                <w:szCs w:val="18"/>
              </w:rPr>
              <w:t>35</w:t>
            </w:r>
            <w:r w:rsidRPr="00A06A12">
              <w:rPr>
                <w:rFonts w:asciiTheme="minorHAnsi" w:hAnsiTheme="minorHAnsi"/>
                <w:sz w:val="18"/>
                <w:szCs w:val="18"/>
              </w:rPr>
              <w:t>min)</w:t>
            </w:r>
          </w:p>
          <w:p w14:paraId="2B0DEF16" w14:textId="77777777" w:rsidR="00391E91" w:rsidRPr="00A06A12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Einzel-/Partnerarbeit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099E593" w14:textId="0312E74E" w:rsidR="00391E91" w:rsidRPr="00A06A12" w:rsidRDefault="00391E91" w:rsidP="00152149">
            <w:pPr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 xml:space="preserve">Die </w:t>
            </w:r>
            <w:proofErr w:type="spellStart"/>
            <w:r w:rsidR="00617BB0" w:rsidRPr="00A06A12">
              <w:rPr>
                <w:rFonts w:asciiTheme="minorHAnsi" w:hAnsiTheme="minorHAnsi"/>
                <w:sz w:val="18"/>
                <w:szCs w:val="18"/>
              </w:rPr>
              <w:t>SuS</w:t>
            </w:r>
            <w:proofErr w:type="spellEnd"/>
            <w:r w:rsidR="00617BB0" w:rsidRPr="00A06A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3F08">
              <w:rPr>
                <w:rFonts w:asciiTheme="minorHAnsi" w:hAnsiTheme="minorHAnsi"/>
                <w:sz w:val="18"/>
                <w:szCs w:val="18"/>
              </w:rPr>
              <w:t xml:space="preserve">arbeiten an AB 2 in Einzel- oder Partnerarbeit  weiter. Bei Aufgabe 13 werden konstruierte Vielecke von </w:t>
            </w:r>
            <w:proofErr w:type="spellStart"/>
            <w:r w:rsidR="00713F08">
              <w:rPr>
                <w:rFonts w:asciiTheme="minorHAnsi" w:hAnsiTheme="minorHAnsi"/>
                <w:sz w:val="18"/>
                <w:szCs w:val="18"/>
              </w:rPr>
              <w:t>MitschülerInnen</w:t>
            </w:r>
            <w:proofErr w:type="spellEnd"/>
            <w:r w:rsidR="00713F08">
              <w:rPr>
                <w:rFonts w:asciiTheme="minorHAnsi" w:hAnsiTheme="minorHAnsi"/>
                <w:sz w:val="18"/>
                <w:szCs w:val="18"/>
              </w:rPr>
              <w:t xml:space="preserve"> gespiegelt. Dies kann entweder über den Tausch des Geräts oder das Versenden der Konstruktionen erfolgen. Im Falle von Partnerarbeit </w:t>
            </w:r>
            <w:r w:rsidR="00152149">
              <w:rPr>
                <w:rFonts w:asciiTheme="minorHAnsi" w:hAnsiTheme="minorHAnsi"/>
                <w:sz w:val="18"/>
                <w:szCs w:val="18"/>
              </w:rPr>
              <w:t>kann</w:t>
            </w:r>
            <w:r w:rsidR="00713F08">
              <w:rPr>
                <w:rFonts w:asciiTheme="minorHAnsi" w:hAnsiTheme="minorHAnsi"/>
                <w:sz w:val="18"/>
                <w:szCs w:val="18"/>
              </w:rPr>
              <w:t xml:space="preserve"> abwechselnd  </w:t>
            </w:r>
            <w:r w:rsidR="00152149">
              <w:rPr>
                <w:rFonts w:asciiTheme="minorHAnsi" w:hAnsiTheme="minorHAnsi"/>
                <w:sz w:val="18"/>
                <w:szCs w:val="18"/>
              </w:rPr>
              <w:t>gespiegelt</w:t>
            </w:r>
            <w:r w:rsidR="00713F08">
              <w:rPr>
                <w:rFonts w:asciiTheme="minorHAnsi" w:hAnsiTheme="minorHAnsi"/>
                <w:sz w:val="18"/>
                <w:szCs w:val="18"/>
              </w:rPr>
              <w:t xml:space="preserve"> werden.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09164A" w14:textId="77777777" w:rsidR="00391E91" w:rsidRPr="00A06A12" w:rsidRDefault="00391E91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AB 2</w:t>
            </w:r>
          </w:p>
          <w:p w14:paraId="66A8DF36" w14:textId="77777777" w:rsidR="00391E91" w:rsidRPr="00A06A12" w:rsidRDefault="00391E91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PCs/</w:t>
            </w:r>
            <w:proofErr w:type="spellStart"/>
            <w:r w:rsidRPr="00A06A12">
              <w:rPr>
                <w:rFonts w:asciiTheme="minorHAnsi" w:hAnsiTheme="minorHAnsi"/>
                <w:sz w:val="18"/>
                <w:szCs w:val="18"/>
              </w:rPr>
              <w:t>Tablets</w:t>
            </w:r>
            <w:proofErr w:type="spellEnd"/>
          </w:p>
        </w:tc>
      </w:tr>
      <w:tr w:rsidR="00391E91" w:rsidRPr="001C3DB3" w14:paraId="408BB53D" w14:textId="77777777" w:rsidTr="00391E91">
        <w:tc>
          <w:tcPr>
            <w:tcW w:w="1951" w:type="dxa"/>
            <w:shd w:val="clear" w:color="auto" w:fill="DEEAF6"/>
          </w:tcPr>
          <w:p w14:paraId="36CDF1C3" w14:textId="77777777" w:rsidR="00391E91" w:rsidRPr="00A06A12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Sicherung</w:t>
            </w:r>
          </w:p>
          <w:p w14:paraId="15C09365" w14:textId="61436F5E" w:rsidR="00391E91" w:rsidRPr="00A06A12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(</w:t>
            </w:r>
            <w:r w:rsidRPr="00A06A12">
              <w:rPr>
                <w:rFonts w:ascii="Monaco" w:hAnsi="Monaco" w:cs="Monaco"/>
                <w:sz w:val="18"/>
                <w:szCs w:val="18"/>
              </w:rPr>
              <w:t>∼</w:t>
            </w:r>
            <w:r w:rsidR="006C16EB">
              <w:rPr>
                <w:rFonts w:asciiTheme="minorHAnsi" w:hAnsiTheme="minorHAnsi" w:cs="Monaco"/>
                <w:sz w:val="18"/>
                <w:szCs w:val="18"/>
              </w:rPr>
              <w:t>10</w:t>
            </w:r>
            <w:r w:rsidRPr="00A06A12">
              <w:rPr>
                <w:rFonts w:asciiTheme="minorHAnsi" w:hAnsiTheme="minorHAnsi"/>
                <w:sz w:val="18"/>
                <w:szCs w:val="18"/>
              </w:rPr>
              <w:t>min)</w:t>
            </w:r>
          </w:p>
          <w:p w14:paraId="17E33D18" w14:textId="77777777" w:rsidR="00391E91" w:rsidRPr="00A06A12" w:rsidRDefault="00391E91" w:rsidP="00391E9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Plenum</w:t>
            </w:r>
          </w:p>
        </w:tc>
        <w:tc>
          <w:tcPr>
            <w:tcW w:w="5103" w:type="dxa"/>
            <w:shd w:val="clear" w:color="auto" w:fill="DEEAF6"/>
          </w:tcPr>
          <w:p w14:paraId="03AB8C6D" w14:textId="16B95C93" w:rsidR="00391E91" w:rsidRPr="00A06A12" w:rsidRDefault="006C16EB" w:rsidP="007D52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Die Lehrkraft sammelt digital oder an der Tafel Eindrücke und Erfahrungen und geht auf Vor- und Nachteile des Programms (AB 2, Nr. 15/16) ein. Diese können ggf. am interaktiven Whiteboard bzw. an der Tafel „live“ </w:t>
            </w:r>
            <w:r w:rsidR="0002734F">
              <w:rPr>
                <w:rFonts w:asciiTheme="minorHAnsi" w:hAnsiTheme="minorHAnsi"/>
                <w:sz w:val="18"/>
                <w:szCs w:val="18"/>
              </w:rPr>
              <w:t xml:space="preserve">zur Visualisierung </w:t>
            </w:r>
            <w:r w:rsidR="007D5293">
              <w:rPr>
                <w:rFonts w:asciiTheme="minorHAnsi" w:hAnsiTheme="minorHAnsi"/>
                <w:sz w:val="18"/>
                <w:szCs w:val="18"/>
              </w:rPr>
              <w:t>gezeigt</w:t>
            </w:r>
            <w:r w:rsidR="0002734F">
              <w:rPr>
                <w:rFonts w:asciiTheme="minorHAnsi" w:hAnsiTheme="minorHAnsi"/>
                <w:sz w:val="18"/>
                <w:szCs w:val="18"/>
              </w:rPr>
              <w:t xml:space="preserve"> werden.</w:t>
            </w:r>
          </w:p>
        </w:tc>
        <w:tc>
          <w:tcPr>
            <w:tcW w:w="2268" w:type="dxa"/>
            <w:shd w:val="clear" w:color="auto" w:fill="DEEAF6"/>
          </w:tcPr>
          <w:p w14:paraId="2EF3C36C" w14:textId="77777777" w:rsidR="00391E91" w:rsidRDefault="00391E91" w:rsidP="00391E91">
            <w:pPr>
              <w:rPr>
                <w:rFonts w:asciiTheme="minorHAnsi" w:hAnsiTheme="minorHAnsi"/>
                <w:sz w:val="18"/>
                <w:szCs w:val="18"/>
              </w:rPr>
            </w:pPr>
            <w:r w:rsidRPr="00A06A12">
              <w:rPr>
                <w:rFonts w:asciiTheme="minorHAnsi" w:hAnsiTheme="minorHAnsi"/>
                <w:sz w:val="18"/>
                <w:szCs w:val="18"/>
              </w:rPr>
              <w:t>Interaktives Whiteboard</w:t>
            </w:r>
            <w:r w:rsidR="006C16EB">
              <w:rPr>
                <w:rFonts w:asciiTheme="minorHAnsi" w:hAnsiTheme="minorHAnsi"/>
                <w:sz w:val="18"/>
                <w:szCs w:val="18"/>
              </w:rPr>
              <w:t>/Tafel</w:t>
            </w:r>
          </w:p>
          <w:p w14:paraId="6736E8BE" w14:textId="4B2934CE" w:rsidR="003304A9" w:rsidRPr="00A06A12" w:rsidRDefault="009C15BC" w:rsidP="009C15B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Ggf.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Padlet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→ QR-Code bereitstellen</w:t>
            </w:r>
          </w:p>
        </w:tc>
      </w:tr>
    </w:tbl>
    <w:p w14:paraId="4D4CB3B8" w14:textId="1963E55D" w:rsidR="0000310E" w:rsidRPr="001C3DB3" w:rsidRDefault="0000310E" w:rsidP="00391E91">
      <w:pPr>
        <w:tabs>
          <w:tab w:val="left" w:pos="484"/>
        </w:tabs>
        <w:jc w:val="both"/>
        <w:rPr>
          <w:rFonts w:asciiTheme="minorHAnsi" w:hAnsiTheme="minorHAnsi"/>
          <w:sz w:val="24"/>
          <w:szCs w:val="24"/>
        </w:rPr>
      </w:pPr>
    </w:p>
    <w:sectPr w:rsidR="0000310E" w:rsidRPr="001C3DB3" w:rsidSect="007F37A3">
      <w:headerReference w:type="default" r:id="rId10"/>
      <w:footerReference w:type="default" r:id="rId11"/>
      <w:pgSz w:w="11906" w:h="16838"/>
      <w:pgMar w:top="1417" w:right="1417" w:bottom="1134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04141" w14:textId="77777777" w:rsidR="003304A9" w:rsidRDefault="003304A9" w:rsidP="003A7575">
      <w:pPr>
        <w:spacing w:after="0" w:line="240" w:lineRule="auto"/>
      </w:pPr>
      <w:r>
        <w:separator/>
      </w:r>
    </w:p>
  </w:endnote>
  <w:endnote w:type="continuationSeparator" w:id="0">
    <w:p w14:paraId="7F2DA8FE" w14:textId="77777777" w:rsidR="003304A9" w:rsidRDefault="003304A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EBA91" w14:textId="77777777" w:rsidR="003304A9" w:rsidRDefault="003304A9" w:rsidP="00A31EA9">
    <w:pPr>
      <w:pStyle w:val="Fuzeile"/>
      <w:jc w:val="right"/>
    </w:pPr>
    <w:r>
      <w:br/>
      <w:t xml:space="preserve">Erstellt von M. Zürker und M. Krogmann unter der Lizenz </w:t>
    </w:r>
    <w:hyperlink r:id="rId1" w:history="1">
      <w:r w:rsidRPr="00B968B7">
        <w:rPr>
          <w:rStyle w:val="Link"/>
        </w:rPr>
        <w:t>CC BY-NC-SA 3.0</w:t>
      </w:r>
    </w:hyperlink>
  </w:p>
  <w:p w14:paraId="6D882F6E" w14:textId="77777777" w:rsidR="003304A9" w:rsidRDefault="003304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F35442D" wp14:editId="4985634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666C" w14:textId="77777777" w:rsidR="003304A9" w:rsidRDefault="003304A9" w:rsidP="003A7575">
      <w:pPr>
        <w:spacing w:after="0" w:line="240" w:lineRule="auto"/>
      </w:pPr>
      <w:r>
        <w:separator/>
      </w:r>
    </w:p>
  </w:footnote>
  <w:footnote w:type="continuationSeparator" w:id="0">
    <w:p w14:paraId="3B085DA1" w14:textId="77777777" w:rsidR="003304A9" w:rsidRDefault="003304A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4B57" w14:textId="77777777" w:rsidR="003304A9" w:rsidRPr="0055325B" w:rsidRDefault="003304A9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34F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2149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3DB3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018D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2EB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E7EFE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04A9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1E91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3AD2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2BC0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3E1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17BB0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27F7B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6EB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0FE0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65C"/>
    <w:rsid w:val="00712A06"/>
    <w:rsid w:val="00713746"/>
    <w:rsid w:val="00713B09"/>
    <w:rsid w:val="00713F08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5EC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57D33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5293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3C3"/>
    <w:rsid w:val="007F2B26"/>
    <w:rsid w:val="007F2EE5"/>
    <w:rsid w:val="007F3787"/>
    <w:rsid w:val="007F37A3"/>
    <w:rsid w:val="007F41DD"/>
    <w:rsid w:val="007F4455"/>
    <w:rsid w:val="007F47B6"/>
    <w:rsid w:val="007F5600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99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5BC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6A12"/>
    <w:rsid w:val="00A06DC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5BD8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53A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3B1C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8E8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6D44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eogebra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DBB2-B573-8A4B-BD8A-34AD707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2492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23</cp:revision>
  <cp:lastPrinted>2018-06-05T08:23:00Z</cp:lastPrinted>
  <dcterms:created xsi:type="dcterms:W3CDTF">2019-02-17T11:50:00Z</dcterms:created>
  <dcterms:modified xsi:type="dcterms:W3CDTF">2019-08-05T20:58:00Z</dcterms:modified>
</cp:coreProperties>
</file>