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43" w:rsidRDefault="0026766C">
      <w:pPr>
        <w:pStyle w:val="Medienbausteine"/>
        <w:rPr>
          <w:rFonts w:hint="eastAsia"/>
        </w:rPr>
      </w:pPr>
      <w:r>
        <w:t>Verlaufsplanung</w:t>
      </w:r>
    </w:p>
    <w:p w:rsidR="00090A43" w:rsidRDefault="0026766C">
      <w:pPr>
        <w:pStyle w:val="Medienbausteine1"/>
      </w:pPr>
      <w:r>
        <w:rPr>
          <w:sz w:val="20"/>
          <w:szCs w:val="20"/>
        </w:rPr>
        <w:t xml:space="preserve">Die Unterrichtseinheit kann in einer Doppelstunde unterrichtet werden (wenn die Schüler schon fit im Umgang mit den Schulcomputern sind) oder etwas gemütlicher in drei Schulstunden. </w:t>
      </w:r>
    </w:p>
    <w:p w:rsidR="00090A43" w:rsidRDefault="0026766C">
      <w:pPr>
        <w:pStyle w:val="Medienbausteine1"/>
      </w:pPr>
      <w:r>
        <w:rPr>
          <w:sz w:val="20"/>
          <w:szCs w:val="20"/>
        </w:rPr>
        <w:t xml:space="preserve">In drei Schulstunden würde die Bearbeitung des AB 3 in </w:t>
      </w:r>
      <w:r>
        <w:rPr>
          <w:sz w:val="20"/>
          <w:szCs w:val="20"/>
        </w:rPr>
        <w:t>die dritte Stunde fallen und im Plenum die abschließende Sicherung und Diskussion nach AB 2 ausführlicher gestaltet werden.</w:t>
      </w:r>
    </w:p>
    <w:p w:rsidR="00090A43" w:rsidRDefault="00090A43">
      <w:pPr>
        <w:pStyle w:val="Medienbausteine1"/>
        <w:rPr>
          <w:sz w:val="12"/>
          <w:szCs w:val="12"/>
        </w:rPr>
      </w:pPr>
    </w:p>
    <w:tbl>
      <w:tblPr>
        <w:tblW w:w="9594" w:type="dxa"/>
        <w:tblInd w:w="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8"/>
        <w:gridCol w:w="6590"/>
        <w:gridCol w:w="1696"/>
      </w:tblGrid>
      <w:tr w:rsidR="00090A43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090A43" w:rsidRDefault="0026766C">
            <w:pPr>
              <w:pStyle w:val="Medienbausteine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Cs w:val="22"/>
              </w:rPr>
              <w:t>Zeit</w:t>
            </w:r>
          </w:p>
          <w:p w:rsidR="00090A43" w:rsidRDefault="0026766C">
            <w:pPr>
              <w:pStyle w:val="Medienbausteine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Cs w:val="22"/>
              </w:rPr>
              <w:t>Methode</w:t>
            </w:r>
          </w:p>
        </w:tc>
        <w:tc>
          <w:tcPr>
            <w:tcW w:w="6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090A43" w:rsidRDefault="0026766C">
            <w:pPr>
              <w:pStyle w:val="Medienbausteine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Cs w:val="22"/>
              </w:rPr>
              <w:t>Beschreibung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090A43" w:rsidRDefault="0026766C">
            <w:pPr>
              <w:pStyle w:val="Medienbausteine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Cs w:val="22"/>
              </w:rPr>
              <w:t>Material</w:t>
            </w:r>
          </w:p>
        </w:tc>
      </w:tr>
      <w:tr w:rsidR="00090A43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26766C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Vorbereitung</w:t>
            </w:r>
          </w:p>
        </w:tc>
        <w:tc>
          <w:tcPr>
            <w:tcW w:w="6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>L</w:t>
            </w:r>
            <w:r>
              <w:rPr>
                <w:rStyle w:val="Funotenanker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passt die Arbeitsblätter dem schuleigenen System an</w:t>
            </w:r>
          </w:p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 xml:space="preserve">Je nach Schulsystem legt L </w:t>
            </w:r>
            <w:r>
              <w:rPr>
                <w:sz w:val="20"/>
                <w:szCs w:val="20"/>
              </w:rPr>
              <w:t>„Aufgaben“ an oder teilt Dateien, die S erhalten sollen über den Schulserver, eine Cloud, Email, Stick, ...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>Lehrerhinweise</w:t>
            </w:r>
          </w:p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 xml:space="preserve">alle </w:t>
            </w:r>
            <w:proofErr w:type="spellStart"/>
            <w:r>
              <w:rPr>
                <w:sz w:val="20"/>
                <w:szCs w:val="20"/>
              </w:rPr>
              <w:t>Arbeistblätter</w:t>
            </w:r>
            <w:proofErr w:type="spellEnd"/>
          </w:p>
        </w:tc>
      </w:tr>
      <w:tr w:rsidR="00090A43">
        <w:tc>
          <w:tcPr>
            <w:tcW w:w="95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26766C">
            <w:pPr>
              <w:pStyle w:val="Medienbausteine1"/>
              <w:jc w:val="center"/>
            </w:pPr>
            <w:r>
              <w:rPr>
                <w:b/>
                <w:bCs/>
              </w:rPr>
              <w:t>Unterrichtsablauf</w:t>
            </w:r>
          </w:p>
        </w:tc>
      </w:tr>
      <w:tr w:rsidR="00090A43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>DAB</w:t>
            </w:r>
          </w:p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>5-10‘</w:t>
            </w:r>
          </w:p>
        </w:tc>
        <w:tc>
          <w:tcPr>
            <w:tcW w:w="6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26766C">
            <w:pPr>
              <w:pStyle w:val="Medienbausteine1"/>
            </w:pPr>
            <w:r>
              <w:rPr>
                <w:i/>
                <w:iCs/>
                <w:sz w:val="20"/>
                <w:szCs w:val="20"/>
              </w:rPr>
              <w:t>Einstieg</w:t>
            </w:r>
            <w:r>
              <w:rPr>
                <w:sz w:val="20"/>
                <w:szCs w:val="20"/>
              </w:rPr>
              <w:t xml:space="preserve">: </w:t>
            </w:r>
          </w:p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 xml:space="preserve">L zeigt Ordnungssysteme und/oder die Einstiegsfolie; S tauschen sich </w:t>
            </w:r>
            <w:r>
              <w:rPr>
                <w:sz w:val="20"/>
                <w:szCs w:val="20"/>
              </w:rPr>
              <w:t>dazu aus, wie sie zuhause Ordnung für ihre Schulsachen halten und warum es sinnvoll ist, eine Ordnungsstruktur zu halten.</w:t>
            </w:r>
          </w:p>
          <w:p w:rsidR="00090A43" w:rsidRDefault="00090A43">
            <w:pPr>
              <w:pStyle w:val="Medienbausteine1"/>
              <w:rPr>
                <w:sz w:val="20"/>
                <w:szCs w:val="20"/>
              </w:rPr>
            </w:pPr>
          </w:p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>Überleitung: L erklärt Ziel der Stunde „Wir lernen kennen wie wir Ordnung auf unserem Computer halten können“ und zeigt Bilder von di</w:t>
            </w:r>
            <w:r>
              <w:rPr>
                <w:sz w:val="20"/>
                <w:szCs w:val="20"/>
              </w:rPr>
              <w:t>gitalen Ordnern (Einstiegsfolie Seite 2).</w:t>
            </w:r>
          </w:p>
          <w:p w:rsidR="00090A43" w:rsidRDefault="0026766C">
            <w:pPr>
              <w:pStyle w:val="Medienbausteine1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Fachworte „Ordner“, in denen sich „Dokumente“ befinden, verwenden</w:t>
            </w:r>
          </w:p>
          <w:p w:rsidR="00090A43" w:rsidRDefault="0026766C">
            <w:pPr>
              <w:pStyle w:val="Medienbausteine1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kurz das Windows-Symbol für Ordner erklären (S in Jg. 5/6 ist meist nicht klar, dass das Symbol einen Ordner zeigen soll)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>Hängeregister-system, Ordn</w:t>
            </w:r>
            <w:r>
              <w:rPr>
                <w:sz w:val="20"/>
                <w:szCs w:val="20"/>
              </w:rPr>
              <w:t xml:space="preserve">er; </w:t>
            </w:r>
          </w:p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>alternativ Einstiegsfolie</w:t>
            </w:r>
          </w:p>
          <w:p w:rsidR="00090A43" w:rsidRDefault="00090A43">
            <w:pPr>
              <w:pStyle w:val="Medienbausteine1"/>
              <w:rPr>
                <w:sz w:val="20"/>
                <w:szCs w:val="20"/>
              </w:rPr>
            </w:pPr>
          </w:p>
        </w:tc>
      </w:tr>
      <w:tr w:rsidR="00090A43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 xml:space="preserve">50‘ </w:t>
            </w:r>
          </w:p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 xml:space="preserve">Partnerarbeit (PA), </w:t>
            </w:r>
          </w:p>
          <w:p w:rsidR="00090A43" w:rsidRDefault="00090A43">
            <w:pPr>
              <w:pStyle w:val="Medienbausteine1"/>
              <w:rPr>
                <w:sz w:val="20"/>
                <w:szCs w:val="20"/>
              </w:rPr>
            </w:pPr>
          </w:p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Busstop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:rsidR="00090A43" w:rsidRDefault="00090A43">
            <w:pPr>
              <w:pStyle w:val="Medienbausteine1"/>
              <w:rPr>
                <w:sz w:val="20"/>
                <w:szCs w:val="20"/>
              </w:rPr>
            </w:pPr>
          </w:p>
          <w:p w:rsidR="00090A43" w:rsidRDefault="00090A43">
            <w:pPr>
              <w:pStyle w:val="Medienbausteine1"/>
              <w:rPr>
                <w:sz w:val="20"/>
                <w:szCs w:val="20"/>
              </w:rPr>
            </w:pPr>
          </w:p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6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26766C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 bearbeiten Arbeitsblatt 1 (Arbeit mit Ordnern) im eigenen Tempo; </w:t>
            </w:r>
          </w:p>
          <w:p w:rsidR="00090A43" w:rsidRDefault="0026766C">
            <w:pPr>
              <w:pStyle w:val="Medienbausteine1"/>
              <w:ind w:left="70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Zwischensicherung</w:t>
            </w:r>
            <w:r>
              <w:rPr>
                <w:sz w:val="20"/>
                <w:szCs w:val="20"/>
              </w:rPr>
              <w:t xml:space="preserve">: ist ein Team mit Arbeitsblatt 1 fertig, steht es auf. Sobald ein weiteres Team aufsteht, </w:t>
            </w:r>
            <w:r>
              <w:rPr>
                <w:sz w:val="20"/>
                <w:szCs w:val="20"/>
              </w:rPr>
              <w:t>vergleichen beide Teams ihre Ergebnisse für AB 1 und stellen sich ihre Zusatzaufgabe vor (Methode „Lerntempoquartett“/ „</w:t>
            </w:r>
            <w:proofErr w:type="spellStart"/>
            <w:r>
              <w:rPr>
                <w:sz w:val="20"/>
                <w:szCs w:val="20"/>
              </w:rPr>
              <w:t>Busstop</w:t>
            </w:r>
            <w:proofErr w:type="spellEnd"/>
            <w:r>
              <w:rPr>
                <w:sz w:val="20"/>
                <w:szCs w:val="20"/>
              </w:rPr>
              <w:t>“)</w:t>
            </w:r>
          </w:p>
          <w:p w:rsidR="00090A43" w:rsidRDefault="0026766C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 bearbeiten Arbeitsblatt 2 (Arbeit mit Dateien) im eigenen Tempo; </w:t>
            </w:r>
          </w:p>
          <w:p w:rsidR="00090A43" w:rsidRDefault="0026766C">
            <w:pPr>
              <w:pStyle w:val="Medienbausteine1"/>
              <w:ind w:left="709"/>
            </w:pPr>
            <w:r>
              <w:rPr>
                <w:i/>
                <w:iCs/>
                <w:sz w:val="20"/>
                <w:szCs w:val="20"/>
              </w:rPr>
              <w:t>Zwischensicherung</w:t>
            </w:r>
            <w:r>
              <w:rPr>
                <w:sz w:val="20"/>
                <w:szCs w:val="20"/>
              </w:rPr>
              <w:t>: siehe Vorgehensweise Arbeitsblatt 1</w:t>
            </w:r>
          </w:p>
          <w:p w:rsidR="00090A43" w:rsidRDefault="0026766C">
            <w:pPr>
              <w:pStyle w:val="Medienbausteine1"/>
            </w:pPr>
            <w:r>
              <w:rPr>
                <w:i/>
                <w:iCs/>
                <w:sz w:val="20"/>
                <w:szCs w:val="20"/>
              </w:rPr>
              <w:t>Sicherung</w:t>
            </w:r>
            <w:r>
              <w:rPr>
                <w:sz w:val="20"/>
                <w:szCs w:val="20"/>
              </w:rPr>
              <w:t>: S führen einzelne Schritte am Smartboard vor, vertiefend werden alternative Vorgehensweisen diskutiert (Zusatzaufgabe AB 1)</w:t>
            </w:r>
          </w:p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>S werden aufgefordert den „Wichtig“-Ordner zu löschen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26766C">
            <w:pPr>
              <w:pStyle w:val="Medienbausteine1"/>
              <w:rPr>
                <w:sz w:val="18"/>
                <w:szCs w:val="18"/>
              </w:rPr>
            </w:pPr>
            <w:bookmarkStart w:id="1" w:name="__DdeLink__975_3829214801"/>
            <w:bookmarkEnd w:id="1"/>
            <w:r>
              <w:rPr>
                <w:sz w:val="18"/>
                <w:szCs w:val="18"/>
              </w:rPr>
              <w:lastRenderedPageBreak/>
              <w:t>Laptops/ Desktops (1:2)</w:t>
            </w:r>
          </w:p>
          <w:p w:rsidR="00090A43" w:rsidRDefault="00090A43">
            <w:pPr>
              <w:pStyle w:val="Medienbausteine1"/>
              <w:rPr>
                <w:sz w:val="18"/>
                <w:szCs w:val="18"/>
              </w:rPr>
            </w:pPr>
          </w:p>
          <w:p w:rsidR="00090A43" w:rsidRDefault="0026766C">
            <w:pPr>
              <w:pStyle w:val="Medienbausteine1"/>
            </w:pPr>
            <w:r>
              <w:rPr>
                <w:sz w:val="18"/>
                <w:szCs w:val="18"/>
              </w:rPr>
              <w:t>AB 1</w:t>
            </w:r>
          </w:p>
          <w:p w:rsidR="00090A43" w:rsidRDefault="0026766C">
            <w:pPr>
              <w:pStyle w:val="Medienbausteine1"/>
            </w:pPr>
            <w:r>
              <w:rPr>
                <w:sz w:val="18"/>
                <w:szCs w:val="18"/>
              </w:rPr>
              <w:t>AB 2</w:t>
            </w:r>
          </w:p>
          <w:p w:rsidR="00090A43" w:rsidRDefault="0026766C">
            <w:pPr>
              <w:pStyle w:val="Medienbausteine1"/>
            </w:pPr>
            <w:r>
              <w:rPr>
                <w:sz w:val="18"/>
                <w:szCs w:val="18"/>
              </w:rPr>
              <w:t>M1 (digital)</w:t>
            </w:r>
          </w:p>
          <w:p w:rsidR="00090A43" w:rsidRDefault="00090A43">
            <w:pPr>
              <w:pStyle w:val="Medienbausteine1"/>
              <w:rPr>
                <w:sz w:val="18"/>
                <w:szCs w:val="18"/>
              </w:rPr>
            </w:pPr>
          </w:p>
          <w:p w:rsidR="00090A43" w:rsidRDefault="00090A43">
            <w:pPr>
              <w:pStyle w:val="Medienbausteine1"/>
              <w:rPr>
                <w:sz w:val="18"/>
                <w:szCs w:val="18"/>
              </w:rPr>
            </w:pPr>
          </w:p>
          <w:p w:rsidR="00090A43" w:rsidRDefault="00090A43">
            <w:pPr>
              <w:pStyle w:val="Medienbausteine1"/>
              <w:rPr>
                <w:sz w:val="18"/>
                <w:szCs w:val="18"/>
              </w:rPr>
            </w:pPr>
          </w:p>
          <w:p w:rsidR="00090A43" w:rsidRDefault="0026766C">
            <w:pPr>
              <w:pStyle w:val="Medienbaustein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Smartboard/ Beam</w:t>
            </w:r>
            <w:r>
              <w:rPr>
                <w:sz w:val="16"/>
                <w:szCs w:val="16"/>
              </w:rPr>
              <w:t>er</w:t>
            </w:r>
          </w:p>
        </w:tc>
      </w:tr>
      <w:tr w:rsidR="00090A43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lastRenderedPageBreak/>
              <w:t>20‘ PA</w:t>
            </w:r>
          </w:p>
        </w:tc>
        <w:tc>
          <w:tcPr>
            <w:tcW w:w="6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26766C">
            <w:pPr>
              <w:pStyle w:val="Medienbausteine1"/>
            </w:pPr>
            <w:r>
              <w:rPr>
                <w:i/>
                <w:iCs/>
                <w:sz w:val="20"/>
                <w:szCs w:val="20"/>
              </w:rPr>
              <w:t>Sicherung und Überprüfung</w:t>
            </w:r>
          </w:p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>S füllen AB 3 aus und bearbeiten die Übungen zur Überprüfung ihrer Kompetenzen.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26766C">
            <w:pPr>
              <w:pStyle w:val="Medienbaustein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Laptops/ Desktops (1:2)</w:t>
            </w:r>
          </w:p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>AB 3</w:t>
            </w:r>
          </w:p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>M2, M3, M4 (digital)</w:t>
            </w:r>
          </w:p>
        </w:tc>
      </w:tr>
      <w:tr w:rsidR="00090A43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26766C">
            <w:pPr>
              <w:pStyle w:val="Medienbausteine1"/>
            </w:pPr>
            <w:r>
              <w:t>5-10‘</w:t>
            </w:r>
          </w:p>
        </w:tc>
        <w:tc>
          <w:tcPr>
            <w:tcW w:w="6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26766C">
            <w:pPr>
              <w:pStyle w:val="Medienbausteine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Abschluss</w:t>
            </w:r>
          </w:p>
          <w:p w:rsidR="00090A43" w:rsidRDefault="0026766C">
            <w:pPr>
              <w:pStyle w:val="Medienbausteine1"/>
            </w:pPr>
            <w:r>
              <w:rPr>
                <w:sz w:val="20"/>
                <w:szCs w:val="20"/>
              </w:rPr>
              <w:t>S berichten von Schwierigkeiten/ Herausforderungen, Fragen zu ABs werden</w:t>
            </w:r>
            <w:r>
              <w:rPr>
                <w:sz w:val="20"/>
                <w:szCs w:val="20"/>
              </w:rPr>
              <w:t xml:space="preserve"> abschließend besprochen, evtl. Zusatzaufgabe vorgelesen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</w:tcPr>
          <w:p w:rsidR="00090A43" w:rsidRDefault="00090A43">
            <w:pPr>
              <w:pStyle w:val="Medienbausteine1"/>
              <w:rPr>
                <w:sz w:val="20"/>
                <w:szCs w:val="20"/>
              </w:rPr>
            </w:pPr>
          </w:p>
        </w:tc>
      </w:tr>
    </w:tbl>
    <w:p w:rsidR="00090A43" w:rsidRDefault="00090A43">
      <w:pPr>
        <w:pStyle w:val="Medienbausteine1"/>
      </w:pPr>
    </w:p>
    <w:sectPr w:rsidR="00090A43"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766C">
      <w:pPr>
        <w:rPr>
          <w:rFonts w:hint="eastAsia"/>
        </w:rPr>
      </w:pPr>
      <w:r>
        <w:separator/>
      </w:r>
    </w:p>
  </w:endnote>
  <w:endnote w:type="continuationSeparator" w:id="0">
    <w:p w:rsidR="00000000" w:rsidRDefault="002676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altName w:val="Times New Roman"/>
    <w:charset w:val="00"/>
    <w:family w:val="roman"/>
    <w:pitch w:val="variable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6C" w:rsidRDefault="0026766C" w:rsidP="0026766C">
    <w:pPr>
      <w:pStyle w:val="Fuzeile"/>
      <w:ind w:right="120"/>
      <w:jc w:val="right"/>
    </w:pPr>
    <w:r>
      <w:t>Verlaufsplan</w:t>
    </w:r>
    <w:r>
      <w:br/>
      <w:t xml:space="preserve">Dieses Material wurde erstellt von Dr. Malin Klawonn und  Kirsten Scholle und steht unter der Lizenz  </w:t>
    </w:r>
    <w:hyperlink r:id="rId1" w:history="1">
      <w:r w:rsidRPr="00B968B7">
        <w:rPr>
          <w:rStyle w:val="Hyperlink"/>
        </w:rPr>
        <w:t>CC BY-NC-SA 3.0</w:t>
      </w:r>
    </w:hyperlink>
  </w:p>
  <w:p w:rsidR="0026766C" w:rsidRDefault="0026766C" w:rsidP="0026766C">
    <w:pPr>
      <w:pStyle w:val="Fuzeile"/>
      <w:jc w:val="right"/>
    </w:pPr>
    <w:r>
      <w:rPr>
        <w:noProof/>
        <w:lang w:bidi="ar-SA"/>
      </w:rPr>
      <w:drawing>
        <wp:inline distT="0" distB="0" distL="0" distR="0" wp14:anchorId="0D049B24" wp14:editId="04C06071">
          <wp:extent cx="1113790" cy="389255"/>
          <wp:effectExtent l="0" t="0" r="3810" b="0"/>
          <wp:docPr id="8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66C" w:rsidRDefault="0026766C"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43" w:rsidRDefault="0026766C">
      <w:pPr>
        <w:rPr>
          <w:rFonts w:hint="eastAsia"/>
        </w:rPr>
      </w:pPr>
      <w:r>
        <w:separator/>
      </w:r>
    </w:p>
  </w:footnote>
  <w:footnote w:type="continuationSeparator" w:id="0">
    <w:p w:rsidR="00090A43" w:rsidRDefault="0026766C">
      <w:pPr>
        <w:rPr>
          <w:rFonts w:hint="eastAsia"/>
        </w:rPr>
      </w:pPr>
      <w:r>
        <w:continuationSeparator/>
      </w:r>
    </w:p>
  </w:footnote>
  <w:footnote w:id="1">
    <w:p w:rsidR="00090A43" w:rsidRDefault="0026766C">
      <w:pPr>
        <w:pStyle w:val="Funotentext"/>
        <w:rPr>
          <w:rFonts w:hint="eastAsia"/>
        </w:rPr>
      </w:pPr>
      <w:r>
        <w:footnoteRef/>
      </w:r>
      <w:r>
        <w:tab/>
        <w:t>L</w:t>
      </w:r>
      <w:bookmarkStart w:id="0" w:name="_GoBack"/>
      <w:bookmarkEnd w:id="0"/>
      <w:r>
        <w:t xml:space="preserve"> steht für </w:t>
      </w:r>
      <w:proofErr w:type="spellStart"/>
      <w:r>
        <w:t>Lehrer_in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E4BAC"/>
    <w:multiLevelType w:val="multilevel"/>
    <w:tmpl w:val="A328B2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F540632"/>
    <w:multiLevelType w:val="multilevel"/>
    <w:tmpl w:val="C504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0A43"/>
    <w:rsid w:val="00090A43"/>
    <w:rsid w:val="002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</w:pPr>
    <w:rPr>
      <w:color w:val="00000A"/>
      <w:sz w:val="24"/>
    </w:rPr>
  </w:style>
  <w:style w:type="paragraph" w:styleId="berschrift1">
    <w:name w:val="heading 1"/>
    <w:basedOn w:val="berschrift"/>
    <w:qFormat/>
    <w:p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qFormat/>
    <w:pPr>
      <w:spacing w:before="200"/>
      <w:outlineLvl w:val="1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  <w:sz w:val="20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styleId="Funotenzeichen">
    <w:name w:val="footnote reference"/>
    <w:qFormat/>
  </w:style>
  <w:style w:type="character" w:customStyle="1" w:styleId="Funotenanker">
    <w:name w:val="Fußnotenanker"/>
    <w:rPr>
      <w:vertAlign w:val="superscript"/>
    </w:rPr>
  </w:style>
  <w:style w:type="character" w:customStyle="1" w:styleId="Endnotenanker">
    <w:name w:val="Endnotenanker"/>
    <w:rPr>
      <w:vertAlign w:val="superscript"/>
    </w:rPr>
  </w:style>
  <w:style w:type="character" w:styleId="Endnotenzeichen">
    <w:name w:val="endnote reference"/>
    <w:qFormat/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  <w:sz w:val="20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  <w:sz w:val="20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  <w:sz w:val="20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  <w:sz w:val="20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  <w:sz w:val="20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  <w:sz w:val="20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Medienbausteine">
    <w:name w:val="Medienbausteine"/>
    <w:basedOn w:val="berschrift1"/>
    <w:qFormat/>
    <w:pPr>
      <w:pBdr>
        <w:left w:val="single" w:sz="32" w:space="1" w:color="000001"/>
      </w:pBdr>
      <w:shd w:val="clear" w:color="auto" w:fill="EEEEEE"/>
      <w:spacing w:before="227" w:after="113"/>
      <w:jc w:val="center"/>
    </w:pPr>
    <w:rPr>
      <w:rFonts w:ascii="Malgun Gothic Semilight" w:hAnsi="Malgun Gothic Semilight"/>
      <w:bCs w:val="0"/>
      <w:spacing w:val="8"/>
    </w:rPr>
  </w:style>
  <w:style w:type="paragraph" w:customStyle="1" w:styleId="Medienbausteine1">
    <w:name w:val="Medienbausteine 1"/>
    <w:basedOn w:val="Standard"/>
    <w:qFormat/>
    <w:pPr>
      <w:spacing w:line="276" w:lineRule="auto"/>
    </w:pPr>
    <w:rPr>
      <w:rFonts w:ascii="Malgun Gothic" w:hAnsi="Malgun Gothic"/>
      <w:spacing w:val="4"/>
      <w:sz w:val="22"/>
    </w:rPr>
  </w:style>
  <w:style w:type="paragraph" w:customStyle="1" w:styleId="MedienbausteinArbeitsauftrag">
    <w:name w:val="Medienbaustein: Arbeitsauftrag"/>
    <w:basedOn w:val="Standard"/>
    <w:qFormat/>
    <w:pPr>
      <w:pBdr>
        <w:top w:val="single" w:sz="4" w:space="5" w:color="000001" w:shadow="1"/>
        <w:left w:val="single" w:sz="4" w:space="5" w:color="000001" w:shadow="1"/>
        <w:bottom w:val="single" w:sz="4" w:space="5" w:color="000001" w:shadow="1"/>
        <w:right w:val="single" w:sz="4" w:space="5" w:color="000001" w:shadow="1"/>
      </w:pBdr>
      <w:shd w:val="clear" w:color="auto" w:fill="EEEEEE"/>
      <w:spacing w:before="57" w:after="57" w:line="360" w:lineRule="auto"/>
      <w:ind w:left="113" w:right="113"/>
    </w:pPr>
    <w:rPr>
      <w:rFonts w:ascii="Malgun Gothic" w:hAnsi="Malgun Gothic"/>
      <w:spacing w:val="2"/>
    </w:rPr>
  </w:style>
  <w:style w:type="paragraph" w:customStyle="1" w:styleId="Medienbaustein2">
    <w:name w:val="Medienbaustein Ü2"/>
    <w:basedOn w:val="berschrift2"/>
    <w:qFormat/>
    <w:pPr>
      <w:shd w:val="clear" w:color="auto" w:fill="EEEEEE"/>
      <w:spacing w:before="170" w:after="113"/>
    </w:pPr>
    <w:rPr>
      <w:rFonts w:ascii="Arial" w:hAnsi="Arial"/>
      <w:b w:val="0"/>
      <w:bCs w:val="0"/>
      <w:spacing w:val="4"/>
    </w:rPr>
  </w:style>
  <w:style w:type="paragraph" w:customStyle="1" w:styleId="Abbildung">
    <w:name w:val="Abbildung"/>
    <w:basedOn w:val="Beschriftung"/>
    <w:qFormat/>
  </w:style>
  <w:style w:type="paragraph" w:customStyle="1" w:styleId="MedienbausteinBildunterschrift">
    <w:name w:val="Medienbaustein Bildunterschrift"/>
    <w:basedOn w:val="Abbildung"/>
    <w:qFormat/>
    <w:rPr>
      <w:rFonts w:ascii="Malgun Gothic" w:hAnsi="Malgun Gothic"/>
      <w:sz w:val="16"/>
    </w:rPr>
  </w:style>
  <w:style w:type="paragraph" w:customStyle="1" w:styleId="Rahmeninhalt">
    <w:name w:val="Rahmeninhalt"/>
    <w:basedOn w:val="Standard"/>
    <w:qFormat/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Funotentext">
    <w:name w:val="footnote text"/>
    <w:basedOn w:val="Standard"/>
    <w:pPr>
      <w:suppressLineNumbers/>
      <w:ind w:left="339" w:hanging="339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676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6766C"/>
    <w:rPr>
      <w:rFonts w:cs="Mangal"/>
      <w:color w:val="00000A"/>
      <w:sz w:val="24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26766C"/>
    <w:rPr>
      <w:color w:val="00000A"/>
      <w:sz w:val="24"/>
    </w:rPr>
  </w:style>
  <w:style w:type="character" w:styleId="Hyperlink">
    <w:name w:val="Hyperlink"/>
    <w:basedOn w:val="Absatz-Standardschriftart"/>
    <w:uiPriority w:val="99"/>
    <w:unhideWhenUsed/>
    <w:rsid w:val="0026766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766C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766C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Puderbach, Thorsten</dc:creator>
  <cp:lastModifiedBy>Puderbach, Thorsten</cp:lastModifiedBy>
  <cp:revision>42</cp:revision>
  <cp:lastPrinted>2018-08-22T16:15:00Z</cp:lastPrinted>
  <dcterms:created xsi:type="dcterms:W3CDTF">2018-05-23T16:17:00Z</dcterms:created>
  <dcterms:modified xsi:type="dcterms:W3CDTF">2018-08-22T16:15:00Z</dcterms:modified>
  <dc:language>de-DE</dc:language>
</cp:coreProperties>
</file>